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17 marca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WYJAZDOWE POSIEDZENIE</w:t>
        <w:br/>
        <w:t>KOMISJI SPOŁECZNEJ I KOMISJI REWIZYJNEJ</w:t>
        <w:br/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0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840" w:line="276" w:lineRule="auto"/>
        <w:ind w:left="400" w:right="0" w:hanging="40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Przegląd obiektów kultury, szkół, przedszkoli, świetlic, placów zabaw i obiektów sportowych w Węglińcu,</w:t>
        <w:br/>
        <w:t>Czerwonej Wodzie, Zielonce, Starym Węglińcu, Piasecznej, Jagodzinie, Ruszowie i Kościelnej Wsi.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firstLine="0"/>
        <w:jc w:val="righ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celu zapobieżenia rozprzestrzeniania się koronawirusa COVID-19 oraz mając na względzie ochronę zdrowia</w:t>
        <w:br/>
        <w:t>mieszkańców oraz pracowników Urzędu Gminy i Miasta w Węglińcu, informuję, że posiedzenie Komisji Społecznej i</w:t>
        <w:br/>
        <w:t>Rewizyjnej Rady Miejskiej Węglińca odbędzie się bez udziału publiczności.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</w:t>
        <w:br/>
        <w:t>pomocy maseczki. Osoby nie noszące maseczek proszone są o przedstawienie zaświadczenia lekarskiego bądź innego</w:t>
        <w:br/>
        <w:t>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6" w:right="1383" w:bottom="846" w:left="1364" w:header="418" w:footer="41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4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38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550"/>
      <w:ind w:right="194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