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806/XLIV/22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737/XLII/21 z dnia 30 listopada 2021 r. Rady Miejskiej Węglińca w sprawie szczegółowego sposobu i zakresu świadczenia usług w zakresie odbierania odpadów komunalnych od właścicieli nieruchomości na terenie Gminy i Miasta Węgliniec i zagospodarowania tych odpadów w zamian za uiszczoną przez właściciela nieruchomości opłatę za gospodarowanie odpadami komunalnymi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6r ust. 3-3d w zw. z art. 5 ust. 1 pkt 1 ustawy z dnia 13 września 1996 r. o utrzymaniu czystości i porządku w gminach (Dz. U. z 2021 r. poz. 888 z poźn.zm.) po zasięgnięciu opinii Państwowego Powiatowego Inspektora Sanitarnego,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W uchwale nr 737/XLII/21 z dnia 30 listopada 2021 r. Rady Miejskiej Węglińca w sprawie szczegółowego sposobu i zakresu świadczenia usług w zakresie odbierania odpadów komunalnych od właścicieli nieruchomości na terenie Gminy i Miasta Węgliniec i zagospodarowania tych odpadów w zamian za uiszczoną przez właściciela nieruchomości opłatę za gospodarowanie odpadami komunalnymi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 4 ust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otrzymuje brzmienie: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Posortownicze (zmieszane) odpady komunalne odbierane są od właścicieli nieruchomości w zależności od rodzaju zabudowy: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terenu Miasta Węgliniec z budynków wielolokalowych 1 raz w tygodniu, w okresie od kwietnia do października, a w okresie od listopada do marca 1 raz na 2 tygodnie,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terenu Gminy i Miasta Węgliniec z budynków jednorodzinnych i nieruchomości niezamieszkałych  1 raz na 2 tygodnie,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terenu Gminy Węgliniec, z wyłączeniem Miasta Węgliniec z budynków wielolokalowych 1 raz na 2 tygodnie.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uchwale nr 737/XLII/21 z dnia 30 listopada 2021 r. Rady Miejskiej Węglińca w sprawie szczegółowego sposobu i zakresu świadczenia usług w zakresie odbierania odpadów komunalnych od właścicieli nieruchomości na terenie Gminy i Miasta Węgliniec i zagospodarowania tych odpadów w zamian za uiszczoną przez właściciela nieruchomości opłatę za gospodarowanie odpadami komunalnymi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 5 ust 1 pkt. 11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otrzymuje brzmienie: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sz w:val="22"/>
        </w:rPr>
        <w:t>11)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zużyte opony;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 a 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 życie w terminie 14 dni od publikacji w Dzienniku  Urzędowym  Województwa 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/>
          <w:p/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uwagi na to, że w § 4. 1. uchwale 737/XLII/21 z dnia 30 listopada 2021 r. Rady Miejskiej Węglińca w sprawie szczegółowego sposobu i zakresu świadczenia usług w zakresie odbierania odpadów komunalnych od właścicieli nieruchomości na terenie Gminy i Miasta Węgliniec i zagospodarowania tych odpadów w zamian za uiszczoną przez właściciela nieruchomości opłatę za gospodarowanie odpadami komunalnymi, ustalona częstotliwość odbioru posortowniczych (zmieszanych) odpadów komunalnych nie uwzględniała zróżnicowania na tereny miejskie i wiejskie Gminy i Miasta Węgliniec należało wprowadzić stosowną korektę. W § 5 ust. 1  pkt 11 rozszerzono zapis dot. zużytych opon. W ustawie o utrzymaniu czystości i porządku w gminach jest mowa o z użytych oponach. Dlatego dokonano zmiany poprzez wykreślenie wyrazów „z samochodów osobowych.”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266401DB-6B5E-4C5A-B85B-CD38DCA9B3F4.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806/XLIV/22 z dnia 28 stycznia 2022 r.</dc:title>
  <dc:subject>w sprawie zmiany uchwały 737/XLII/21 z^dnia 30^listopada 2021^r. Rady Miejskiej Węglińca w^sprawie szczegółowego sposobu i^zakresu świadczenia usług w^zakresie odbierania odpadów komunalnych od właścicieli nieruchomości na terenie Gminy i^Miasta Węgliniec i^zagospodarowania tych odpadów w^zamian za uiszczoną przez właściciela nieruchomości opłatę za gospodarowanie odpadami komunalnymi</dc:subject>
  <dc:creator>Alicja</dc:creator>
  <cp:lastModifiedBy>Alicja</cp:lastModifiedBy>
  <cp:revision>1</cp:revision>
  <dcterms:created xsi:type="dcterms:W3CDTF">2022-02-22T14:10:13Z</dcterms:created>
  <dcterms:modified xsi:type="dcterms:W3CDTF">2022-02-22T14:10:13Z</dcterms:modified>
  <cp:category>Akt prawny</cp:category>
</cp:coreProperties>
</file>