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31 marca 2022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430" w:bottom="1429" w:left="454" w:header="348" w:footer="100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194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24.02.2022 r. i 18.03.2022r.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lany inwestycyjne na rok 2022.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lanowane remonty dróg, chodników i sieci wodnokanalizacyjnej.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mówienie planów związanych z sanitacją gminy i gospodarką niskoemisyjną.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sposobu finansowania i wykonania budżetu klubów sportowych,</w:t>
        <w:br/>
        <w:t>stowarzyszeń i OSP za 2021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26" w:lineRule="auto"/>
        <w:ind w:left="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33" w:lineRule="auto"/>
        <w:ind w:left="7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„Programu opieki nad zwierzętami bezdomnymi oraz</w:t>
        <w:br/>
        <w:t>zapobiegania bezdomności zwierząt na terenie Gminy Węgliniec w 2022</w:t>
        <w:br/>
        <w:t>roku”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30" w:lineRule="auto"/>
        <w:ind w:left="7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uchwalenia programu osłonowego "Korpus Wsparcia Seniorów"</w:t>
        <w:br/>
        <w:t>na rok 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33" w:lineRule="auto"/>
        <w:ind w:left="7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Gminnego Programu Profilaktyki i Rozwiązywania</w:t>
        <w:br/>
        <w:t>Problemów Alkoholowych oraz Przeciwdziałania Narkomanii na lata 2022</w:t>
        <w:t>-</w:t>
        <w:br/>
        <w:t>2025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7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100/VIII/15 Rady Miejskiej Węglińca z dnia</w:t>
        <w:br/>
        <w:t>30 czerwca 2015 roku w sprawie zarządzenia poboru podatków i opłat</w:t>
        <w:br/>
        <w:t>lokalnych w formie inkasa, ustalenia inkasentów dla poboru tych podatków</w:t>
        <w:br/>
        <w:t>i opłat oraz ich wynagrodzenia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7" w:val="left"/>
        </w:tabs>
        <w:bidi w:val="0"/>
        <w:spacing w:before="0" w:after="0" w:line="233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718/XLII/21 Rady Miejskiej</w:t>
        <w:br/>
        <w:t>Węglińca z dnia 30 listopada 2021 r. w sprawie uchwalenia statutu Miejsko-</w:t>
        <w:br/>
        <w:t>Gminnego Ośrodka Pomocy Społecznej w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7" w:val="left"/>
        </w:tabs>
        <w:bidi w:val="0"/>
        <w:spacing w:before="0" w:after="0" w:line="233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</w:t>
        <w:br/>
        <w:t>przetargowego i zawarcie umowy najmu części powierzchni dachu na</w:t>
        <w:br/>
        <w:t>budynku w Starym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7" w:val="left"/>
        </w:tabs>
        <w:bidi w:val="0"/>
        <w:spacing w:before="0" w:after="0" w:line="233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trzy uchwały w sprawie wyrażenia zgody na odstąpienie od obowiązku trybu</w:t>
        <w:br/>
        <w:t>przetargowego i zawarcie umowy dzierżawy gruntu na cele związane</w:t>
        <w:br/>
        <w:t>z działalnością rolniczą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820" w:right="0" w:hanging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osiem uchwał w sprawie wyrażenia zgody na odstąpienie od obowiązku trybu</w:t>
        <w:br/>
        <w:t>przetargowego i zawarcie umowy najmu pomieszczenia</w:t>
        <w:br/>
        <w:t>gospodarczego/najmu garażu/ dzierżawy gruntu na cele</w:t>
        <w:br/>
        <w:t>rekreacyjne/dzierżawy gruntu pod zabudowę 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7" w:val="left"/>
        </w:tabs>
        <w:bidi w:val="0"/>
        <w:spacing w:before="0" w:after="0" w:line="156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7" w:val="left"/>
        </w:tabs>
        <w:bidi w:val="0"/>
        <w:spacing w:before="0" w:after="0" w:line="156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5" w:val="left"/>
        </w:tabs>
        <w:bidi w:val="0"/>
        <w:spacing w:before="0" w:after="10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430" w:bottom="776" w:left="454" w:header="0" w:footer="3" w:gutter="0"/>
          <w:cols w:num="2" w:sep="1" w:space="624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6" w:right="430" w:bottom="776" w:left="454" w:header="0" w:footer="3" w:gutter="0"/>
      <w:cols w:num="2" w:sep="1" w:space="624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