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825/XLVII/22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100/VIII/15 Rady Miejskiej Węglińca z dnia 30 czerwca 2015 roku w sprawie zarządzenia poboru podatków i opłat lokalnych w formie inkasa, ustalenia inkasentów dla poboru tych podatków i opłat oraz ich wynagrodzenia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 2 pkt 8 ustawy z dnia 8 marca 1990r. o samorządzie gminnym (Dz. U. z 2022r., poz. 559), art. 28 § 4 ustawy z dnia 29 sierpnia 1997r. Ordynacja podatkowa (Dz. U. z 2021r.,  poz. 1540 z późn. zm.),  art. 6 ust. 12 i art. 19 pkt 2  ustawy z dnia 12 stycznia  1991r. o podatkach i opłatach lokalnych (Dz. U. z 2019r., poz. 1170 z późn. zm.), art. 6b ustawy z dnia 15 listopada 1984r. o podatku rolnym (Dz. U z 2020r., poz. 333) oraz art. 6 ust. 8 ustawy z dnia 30 października 2002r. o podatku leśnym (Dz. U z 2019r., poz. 888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100/VIII/15 Rady Miejskiej Węglińca z dnia 30 czerwca 2015 roku w sprawie zarządzenia poboru podatków i opłat lokalnych w formie inkasa, ustalenia inkasentów dla poboru tych podatków i opłat  oraz ich wynagrodzenia ze zmianami, wprowadza się następującą zmianę: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 § 2 ust. 2. pkt a) otrzymuje następujące brzmienie: ,,na terenie miasta Węgliniec p. Anna Popielewicz oraz p. Wiesława Trefler; ’’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dnia ogłoszenia w 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wyniku złożonej w dniu 25 stycznia 2022r. rezygnacji z poboru opłaty targowej na rynku w Węglińcu przez p. Cecylię Prałat, w dniu 22.03.2022r. p. Anna Popielewicz, zam. w Węglińcu, ul. K. Wojtyły 20a wyraziła pisemną zgodę na pobór opłaty targowej w formie inkasa na terenie placu targowego w Węglińcu.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CE7AD773-8FB8-4878-9EB5-8098405EDAF8.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825/XLVII/22 z dnia 31 marca 2022 r.</dc:title>
  <dc:subject>w sprawie zmiany uchwały nr 100/VIII/15 Rady Miejskiej Węglińca z^dnia 30^czerwca 2015^roku w^sprawie zarządzenia poboru podatków i^opłat lokalnych w^formie inkasa, ustalenia inkasentów dla poboru tych podatków i^opłat oraz ich wynagrodzenia</dc:subject>
  <dc:creator>Alicja</dc:creator>
  <cp:lastModifiedBy>Alicja</cp:lastModifiedBy>
  <cp:revision>1</cp:revision>
  <dcterms:created xsi:type="dcterms:W3CDTF">2022-04-11T12:55:59Z</dcterms:created>
  <dcterms:modified xsi:type="dcterms:W3CDTF">2022-04-11T12:55:59Z</dcterms:modified>
  <cp:category>Akt prawny</cp:category>
</cp:coreProperties>
</file>