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0FAE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897/LI/22</w:t>
      </w:r>
      <w:r>
        <w:rPr>
          <w:b/>
          <w:caps/>
        </w:rPr>
        <w:br/>
        <w:t>Rady Miejskiej Węglińca</w:t>
      </w:r>
    </w:p>
    <w:p w14:paraId="0C0630E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sierpnia 2022 r.</w:t>
      </w:r>
    </w:p>
    <w:p w14:paraId="648E1416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39A5737D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 559) w związku z art. 37 ust. 4 ustawy z dnia 21 sierpnia 1997 r. o gospodarce nieruchomościami (Dz. U. z 2021 r., poz. 1899 z </w:t>
      </w:r>
      <w:proofErr w:type="spellStart"/>
      <w:r>
        <w:t>poźn</w:t>
      </w:r>
      <w:proofErr w:type="spellEnd"/>
      <w:r>
        <w:t>. zm.) Rada Miejska Węglińca uchwala, co następuje:</w:t>
      </w:r>
    </w:p>
    <w:p w14:paraId="1B4C555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pomieszczenia gospodarczego o  powierzchni 4,60m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na  czas nieoznaczony  położone w Węglińcu przy ul. Karola Wojtyły 21 na działce o numerze ewidencyjnym 42/6 </w:t>
      </w:r>
      <w:r w:rsidRPr="00EA7CD1">
        <w:rPr>
          <w:color w:val="000000"/>
          <w:highlight w:val="black"/>
          <w:u w:color="000000"/>
        </w:rPr>
        <w:t>z Panią Barbarą Kowalską.</w:t>
      </w:r>
    </w:p>
    <w:p w14:paraId="5A7360D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7562D30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010363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8FBF8FF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22B6F" w14:paraId="0E0959B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8C50DD" w14:textId="77777777" w:rsidR="00022B6F" w:rsidRDefault="00022B6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06FC4A" w14:textId="77777777" w:rsidR="00022B6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022B6F" w14:paraId="5EF99A0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C4334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CEFE430" w14:textId="77777777" w:rsidR="00022B6F" w:rsidRDefault="00022B6F"/>
          <w:p w14:paraId="7A11E485" w14:textId="77777777" w:rsidR="00022B6F" w:rsidRDefault="00022B6F"/>
          <w:p w14:paraId="1B78AF6A" w14:textId="77777777" w:rsidR="00022B6F" w:rsidRDefault="00022B6F"/>
          <w:p w14:paraId="7FEE3AF6" w14:textId="77777777" w:rsidR="00022B6F" w:rsidRDefault="00022B6F"/>
          <w:p w14:paraId="7158FE2E" w14:textId="77777777" w:rsidR="00022B6F" w:rsidRDefault="00022B6F"/>
          <w:p w14:paraId="7E1C0CA4" w14:textId="77777777" w:rsidR="00022B6F" w:rsidRDefault="00022B6F"/>
          <w:p w14:paraId="151DD901" w14:textId="77777777" w:rsidR="00022B6F" w:rsidRDefault="00022B6F"/>
          <w:p w14:paraId="351AC4B8" w14:textId="77777777" w:rsidR="00022B6F" w:rsidRDefault="00022B6F"/>
        </w:tc>
      </w:tr>
      <w:tr w:rsidR="00022B6F" w14:paraId="2A8B19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9656C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022B6F" w14:paraId="213C06B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4B34F9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nieokreślony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16DAF859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162712" w14:textId="77777777" w:rsidR="00EB1010" w:rsidRDefault="00EB1010">
      <w:r>
        <w:separator/>
      </w:r>
    </w:p>
  </w:endnote>
  <w:endnote w:type="continuationSeparator" w:id="0">
    <w:p w14:paraId="7D4B184B" w14:textId="77777777" w:rsidR="00EB1010" w:rsidRDefault="00EB1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022B6F" w14:paraId="2C902414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A81B433" w14:textId="77777777" w:rsidR="00022B6F" w:rsidRDefault="00000000">
          <w:pPr>
            <w:jc w:val="left"/>
            <w:rPr>
              <w:sz w:val="18"/>
            </w:rPr>
          </w:pPr>
          <w:r w:rsidRPr="00EA7CD1">
            <w:rPr>
              <w:sz w:val="18"/>
              <w:lang w:val="en-US"/>
            </w:rPr>
            <w:t>Id: 184D362B-0952-420E-B3FB-16A7292C2834.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CEAF39A" w14:textId="77777777" w:rsidR="00022B6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A7CD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0C4D188" w14:textId="77777777" w:rsidR="00022B6F" w:rsidRDefault="00022B6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7F27D5" w14:textId="77777777" w:rsidR="00EB1010" w:rsidRDefault="00EB1010">
      <w:r>
        <w:separator/>
      </w:r>
    </w:p>
  </w:footnote>
  <w:footnote w:type="continuationSeparator" w:id="0">
    <w:p w14:paraId="16902AFD" w14:textId="77777777" w:rsidR="00EB1010" w:rsidRDefault="00EB10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22B6F"/>
    <w:rsid w:val="00A77B3E"/>
    <w:rsid w:val="00CA2A55"/>
    <w:rsid w:val="00EA7CD1"/>
    <w:rsid w:val="00EB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2A26F3"/>
  <w15:docId w15:val="{BD131B0B-89CC-457D-BE90-19645AB1D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897/LI/22 z dnia 25 sierpnia 2022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dcterms:created xsi:type="dcterms:W3CDTF">2022-08-30T07:54:00Z</dcterms:created>
  <dcterms:modified xsi:type="dcterms:W3CDTF">2022-08-30T06:27:00Z</dcterms:modified>
  <cp:category>Akt prawny</cp:category>
</cp:coreProperties>
</file>