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666" w:bottom="1257" w:left="378" w:header="348" w:footer="82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26 października 2022 r. o godz.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187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0" w:bottom="7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26 października 2022 r. o godz. 9:30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6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protokołu sesji z dnia 29.09.2022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zapytanie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prac Burmistrza za okres od 1.09.2022 do 30.09.2022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18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łok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/>
        <w:ind w:left="60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468/XXIX/20 Rady Miejskiej Węglińca z dnia 30 grudnia 2020 r. w sprawie przyjęcia Wieloletniej Prognozy Finansowej.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7" w:val="left"/>
        </w:tabs>
        <w:bidi w:val="0"/>
        <w:spacing w:before="0" w:after="0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7" w:val="left"/>
        </w:tabs>
        <w:bidi w:val="0"/>
        <w:spacing w:before="0" w:after="0"/>
        <w:ind w:left="60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stawek dotacji przedmiotowych dla Zakładu Usług Komunalnych w Węglińcu na realizację zadań bieżących.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2" w:val="left"/>
        </w:tabs>
        <w:bidi w:val="0"/>
        <w:spacing w:before="0" w:after="140"/>
        <w:ind w:left="60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zwolnienia samorządowego zakładu budżetowego Zakład Usług Komunalnych w Węglińcu z obowiązku wpłaty nadwyżki środków obrotowych do budżetu Gminy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34" w:val="left"/>
        </w:tabs>
        <w:bidi w:val="0"/>
        <w:spacing w:before="0" w:after="0"/>
        <w:ind w:left="600" w:right="0" w:hanging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-6.16 czternaście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7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24" w:val="left"/>
        </w:tabs>
        <w:bidi w:val="0"/>
        <w:spacing w:before="0" w:after="0"/>
        <w:ind w:left="50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43" w:val="left"/>
        </w:tabs>
        <w:bidi w:val="0"/>
        <w:spacing w:before="0" w:after="0"/>
        <w:ind w:left="50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8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8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9" w:val="left"/>
        </w:tabs>
        <w:bidi w:val="0"/>
        <w:spacing w:before="0" w:after="202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360" w:firstLine="0"/>
        <w:jc w:val="righ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560" w:firstLine="0"/>
        <w:jc w:val="righ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666" w:bottom="776" w:left="378" w:header="0" w:footer="3" w:gutter="0"/>
          <w:cols w:num="2" w:sep="1" w:space="657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6" w:right="666" w:bottom="776" w:left="378" w:header="0" w:footer="3" w:gutter="0"/>
      <w:cols w:num="2" w:sep="1" w:space="657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9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