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val="0"/>
        <w:keepLines w:val="0"/>
        <w:widowControl w:val="0"/>
        <w:shd w:val="clear" w:color="auto" w:fill="auto"/>
        <w:bidi w:val="0"/>
        <w:spacing w:before="0" w:after="800" w:line="240" w:lineRule="auto"/>
        <w:ind w:left="0" w:right="0" w:firstLine="0"/>
        <w:jc w:val="center"/>
      </w:pPr>
      <w:r>
        <w:rPr>
          <w:b/>
          <w:bCs/>
          <w:color w:val="000000"/>
          <w:spacing w:val="0"/>
          <w:w w:val="100"/>
          <w:position w:val="0"/>
          <w:sz w:val="24"/>
          <w:szCs w:val="24"/>
          <w:shd w:val="clear" w:color="auto" w:fill="auto"/>
          <w:lang w:val="pl-PL" w:eastAsia="pl-PL" w:bidi="pl-PL"/>
        </w:rPr>
        <w:t>ZARZĄDZENIE NR 88 /2022</w:t>
        <w:br/>
        <w:t>Burmistrza Gminy i Miasta Węgliniec</w:t>
        <w:br/>
      </w:r>
      <w:r>
        <w:rPr>
          <w:color w:val="000000"/>
          <w:spacing w:val="0"/>
          <w:w w:val="100"/>
          <w:position w:val="0"/>
          <w:shd w:val="clear" w:color="auto" w:fill="auto"/>
          <w:lang w:val="pl-PL" w:eastAsia="pl-PL" w:bidi="pl-PL"/>
        </w:rPr>
        <w:t>z dnia 1 września 2022 r.</w:t>
      </w:r>
    </w:p>
    <w:p>
      <w:pPr>
        <w:pStyle w:val="Style6"/>
        <w:keepNext w:val="0"/>
        <w:keepLines w:val="0"/>
        <w:widowControl w:val="0"/>
        <w:shd w:val="clear" w:color="auto" w:fill="auto"/>
        <w:bidi w:val="0"/>
        <w:spacing w:before="0" w:after="540" w:line="240" w:lineRule="auto"/>
        <w:ind w:left="0" w:right="0" w:firstLine="0"/>
        <w:jc w:val="center"/>
        <w:rPr>
          <w:sz w:val="24"/>
          <w:szCs w:val="24"/>
        </w:rPr>
      </w:pPr>
      <w:r>
        <w:rPr>
          <w:b/>
          <w:bCs/>
          <w:color w:val="000000"/>
          <w:spacing w:val="0"/>
          <w:w w:val="100"/>
          <w:position w:val="0"/>
          <w:sz w:val="24"/>
          <w:szCs w:val="24"/>
          <w:shd w:val="clear" w:color="auto" w:fill="auto"/>
          <w:lang w:val="pl-PL" w:eastAsia="pl-PL" w:bidi="pl-PL"/>
        </w:rPr>
        <w:t>w sprawie ustalenia zasad klasyfikacji wydatków związanych z realizacją zadań</w:t>
        <w:br/>
        <w:t>wymagających zastosowania specjalnej organizacji nauki i metod pracy w przedszkolu i</w:t>
        <w:br/>
        <w:t>szkołach prowadzonych przez Gminę Węgliniec</w:t>
      </w:r>
    </w:p>
    <w:p>
      <w:pPr>
        <w:pStyle w:val="Style6"/>
        <w:keepNext w:val="0"/>
        <w:keepLines w:val="0"/>
        <w:widowControl w:val="0"/>
        <w:shd w:val="clear" w:color="auto" w:fill="auto"/>
        <w:bidi w:val="0"/>
        <w:spacing w:before="0" w:after="340"/>
        <w:ind w:left="0" w:right="0" w:firstLine="0"/>
        <w:jc w:val="both"/>
      </w:pPr>
      <w:r>
        <w:rPr>
          <w:color w:val="000000"/>
          <w:spacing w:val="0"/>
          <w:w w:val="100"/>
          <w:position w:val="0"/>
          <w:shd w:val="clear" w:color="auto" w:fill="auto"/>
          <w:lang w:val="pl-PL" w:eastAsia="pl-PL" w:bidi="pl-PL"/>
        </w:rPr>
        <w:t>Na podstawie art. 30 ust. 2 ustawy z dnia 8 marca 1990 r. o samorządzie gminnym (Dz. U. z 2022 r. poz. 559 z późn. zm.), art. 8 ustawy z dnia 27 października 2017r. o finansowaniu zadań oświatowych (Dz. U. z 2021 r. poz. 1930 z późn. zm.) oraz § 1 rozporządzenia Ministra Finansów z dnia 2 marca 2010r. w sprawie szczegółowej klasyfikacji dochodów, wydatków, przychodów i rozchodów oraz środków pochodzących ze źródeł zagranicznych (Dz. U. z 2022r. poz. 513) oraz art. 127, ust. 10 ustawy z dnia 14 grudnia 2016 r. Prawo oświatowe (Dz.U. z 2021 r. poz. 1082 z późn. zm.) zarządzam, co następuje:</w:t>
      </w:r>
    </w:p>
    <w:p>
      <w:pPr>
        <w:pStyle w:val="Style10"/>
        <w:keepNext/>
        <w:keepLines/>
        <w:widowControl w:val="0"/>
        <w:shd w:val="clear" w:color="auto" w:fill="auto"/>
        <w:bidi w:val="0"/>
        <w:spacing w:before="0" w:after="220" w:line="240" w:lineRule="auto"/>
        <w:ind w:left="0" w:right="0" w:firstLine="0"/>
        <w:jc w:val="center"/>
      </w:pPr>
      <w:bookmarkStart w:id="0" w:name="bookmark0"/>
      <w:r>
        <w:rPr>
          <w:color w:val="000000"/>
          <w:spacing w:val="0"/>
          <w:w w:val="100"/>
          <w:position w:val="0"/>
          <w:sz w:val="24"/>
          <w:szCs w:val="24"/>
          <w:shd w:val="clear" w:color="auto" w:fill="auto"/>
          <w:lang w:val="pl-PL" w:eastAsia="pl-PL" w:bidi="pl-PL"/>
        </w:rPr>
        <w:t>§1</w:t>
      </w:r>
      <w:bookmarkEnd w:id="0"/>
    </w:p>
    <w:p>
      <w:pPr>
        <w:pStyle w:val="Style6"/>
        <w:keepNext w:val="0"/>
        <w:keepLines w:val="0"/>
        <w:widowControl w:val="0"/>
        <w:shd w:val="clear" w:color="auto" w:fill="auto"/>
        <w:bidi w:val="0"/>
        <w:spacing w:before="0" w:after="540"/>
        <w:ind w:left="0" w:right="0" w:firstLine="0"/>
        <w:jc w:val="both"/>
      </w:pPr>
      <w:r>
        <w:rPr>
          <w:color w:val="000000"/>
          <w:spacing w:val="0"/>
          <w:w w:val="100"/>
          <w:position w:val="0"/>
          <w:shd w:val="clear" w:color="auto" w:fill="auto"/>
          <w:lang w:val="pl-PL" w:eastAsia="pl-PL" w:bidi="pl-PL"/>
        </w:rPr>
        <w:t>Ustala się zasady klasyfikacji wydatków związanych z realizacją zadań wymagających stosowania specjalnej organizacji nauki i metod pracy w szkołach i przedszkolach prowadzonych przez Gminę Węgliniec.</w:t>
      </w:r>
    </w:p>
    <w:p>
      <w:pPr>
        <w:pStyle w:val="Style10"/>
        <w:keepNext/>
        <w:keepLines/>
        <w:widowControl w:val="0"/>
        <w:shd w:val="clear" w:color="auto" w:fill="auto"/>
        <w:bidi w:val="0"/>
        <w:spacing w:before="0" w:after="220" w:line="240" w:lineRule="auto"/>
        <w:ind w:left="0" w:right="0" w:firstLine="0"/>
        <w:jc w:val="center"/>
      </w:pPr>
      <w:bookmarkStart w:id="2" w:name="bookmark2"/>
      <w:r>
        <w:rPr>
          <w:color w:val="000000"/>
          <w:spacing w:val="0"/>
          <w:w w:val="100"/>
          <w:position w:val="0"/>
          <w:sz w:val="24"/>
          <w:szCs w:val="24"/>
          <w:shd w:val="clear" w:color="auto" w:fill="auto"/>
          <w:lang w:val="pl-PL" w:eastAsia="pl-PL" w:bidi="pl-PL"/>
        </w:rPr>
        <w:t>§2</w:t>
      </w:r>
      <w:bookmarkEnd w:id="2"/>
    </w:p>
    <w:p>
      <w:pPr>
        <w:pStyle w:val="Style6"/>
        <w:keepNext w:val="0"/>
        <w:keepLines w:val="0"/>
        <w:widowControl w:val="0"/>
        <w:numPr>
          <w:ilvl w:val="0"/>
          <w:numId w:val="1"/>
        </w:numPr>
        <w:shd w:val="clear" w:color="auto" w:fill="auto"/>
        <w:tabs>
          <w:tab w:pos="341" w:val="left"/>
        </w:tabs>
        <w:bidi w:val="0"/>
        <w:spacing w:before="0" w:after="0"/>
        <w:ind w:left="340" w:right="0" w:hanging="340"/>
        <w:jc w:val="both"/>
      </w:pPr>
      <w:r>
        <w:rPr>
          <w:color w:val="000000"/>
          <w:spacing w:val="0"/>
          <w:w w:val="100"/>
          <w:position w:val="0"/>
          <w:shd w:val="clear" w:color="auto" w:fill="auto"/>
          <w:lang w:val="pl-PL" w:eastAsia="pl-PL" w:bidi="pl-PL"/>
        </w:rPr>
        <w:t>Wydatki związane z realizacją zadań wymagających stosowania specjalnej organizacji nauki i metod pracy w szkołach i przedszkolach to wydatki poczynione na działalność wykonaną na rzecz:</w:t>
      </w:r>
    </w:p>
    <w:p>
      <w:pPr>
        <w:pStyle w:val="Style6"/>
        <w:keepNext w:val="0"/>
        <w:keepLines w:val="0"/>
        <w:widowControl w:val="0"/>
        <w:numPr>
          <w:ilvl w:val="0"/>
          <w:numId w:val="3"/>
        </w:numPr>
        <w:shd w:val="clear" w:color="auto" w:fill="auto"/>
        <w:tabs>
          <w:tab w:pos="813" w:val="left"/>
        </w:tabs>
        <w:bidi w:val="0"/>
        <w:spacing w:before="0" w:after="0"/>
        <w:ind w:left="840" w:right="0" w:hanging="360"/>
        <w:jc w:val="both"/>
      </w:pPr>
      <w:r>
        <w:rPr>
          <w:color w:val="000000"/>
          <w:spacing w:val="0"/>
          <w:w w:val="100"/>
          <w:position w:val="0"/>
          <w:shd w:val="clear" w:color="auto" w:fill="auto"/>
          <w:lang w:val="pl-PL" w:eastAsia="pl-PL" w:bidi="pl-PL"/>
        </w:rPr>
        <w:t>uczniów posiadających orzeczenie o potrzebie kształcenia specjalnego,</w:t>
      </w:r>
    </w:p>
    <w:p>
      <w:pPr>
        <w:pStyle w:val="Style6"/>
        <w:keepNext w:val="0"/>
        <w:keepLines w:val="0"/>
        <w:widowControl w:val="0"/>
        <w:numPr>
          <w:ilvl w:val="0"/>
          <w:numId w:val="3"/>
        </w:numPr>
        <w:shd w:val="clear" w:color="auto" w:fill="auto"/>
        <w:tabs>
          <w:tab w:pos="832" w:val="left"/>
        </w:tabs>
        <w:bidi w:val="0"/>
        <w:spacing w:before="0" w:after="0"/>
        <w:ind w:left="840" w:right="0" w:hanging="360"/>
        <w:jc w:val="both"/>
      </w:pPr>
      <w:r>
        <w:rPr>
          <w:color w:val="000000"/>
          <w:spacing w:val="0"/>
          <w:w w:val="100"/>
          <w:position w:val="0"/>
          <w:shd w:val="clear" w:color="auto" w:fill="auto"/>
          <w:lang w:val="pl-PL" w:eastAsia="pl-PL" w:bidi="pl-PL"/>
        </w:rPr>
        <w:t>uczestników zajęć rewalidacyjno-wychowawczych posiadających orzeczenie o potrzebie zajęć rewalidacyjno-wychowawczych.</w:t>
      </w:r>
    </w:p>
    <w:p>
      <w:pPr>
        <w:pStyle w:val="Style6"/>
        <w:keepNext w:val="0"/>
        <w:keepLines w:val="0"/>
        <w:widowControl w:val="0"/>
        <w:numPr>
          <w:ilvl w:val="0"/>
          <w:numId w:val="1"/>
        </w:numPr>
        <w:shd w:val="clear" w:color="auto" w:fill="auto"/>
        <w:tabs>
          <w:tab w:pos="341" w:val="left"/>
        </w:tabs>
        <w:bidi w:val="0"/>
        <w:spacing w:before="0" w:after="0"/>
        <w:ind w:left="340" w:right="0" w:hanging="340"/>
        <w:jc w:val="both"/>
      </w:pPr>
      <w:r>
        <w:rPr>
          <w:color w:val="000000"/>
          <w:spacing w:val="0"/>
          <w:w w:val="100"/>
          <w:position w:val="0"/>
          <w:shd w:val="clear" w:color="auto" w:fill="auto"/>
          <w:lang w:val="pl-PL" w:eastAsia="pl-PL" w:bidi="pl-PL"/>
        </w:rPr>
        <w:t>Wydatki związane z realizacją zadań wymagających stosowania specjalnej organizacji nauki i metod pracy powinny być wydatkami przeznaczonymi w roku budżetowym na realizację zadań bezpośrednio związanymi z realizacją zaleceń zawartych w:</w:t>
      </w:r>
    </w:p>
    <w:p>
      <w:pPr>
        <w:pStyle w:val="Style6"/>
        <w:keepNext w:val="0"/>
        <w:keepLines w:val="0"/>
        <w:widowControl w:val="0"/>
        <w:numPr>
          <w:ilvl w:val="0"/>
          <w:numId w:val="5"/>
        </w:numPr>
        <w:shd w:val="clear" w:color="auto" w:fill="auto"/>
        <w:tabs>
          <w:tab w:pos="762" w:val="left"/>
        </w:tabs>
        <w:bidi w:val="0"/>
        <w:spacing w:before="0" w:after="0"/>
        <w:ind w:left="0" w:right="0" w:firstLine="420"/>
        <w:jc w:val="left"/>
      </w:pPr>
      <w:r>
        <w:rPr>
          <w:color w:val="000000"/>
          <w:spacing w:val="0"/>
          <w:w w:val="100"/>
          <w:position w:val="0"/>
          <w:shd w:val="clear" w:color="auto" w:fill="auto"/>
          <w:lang w:val="pl-PL" w:eastAsia="pl-PL" w:bidi="pl-PL"/>
        </w:rPr>
        <w:t>orzeczeniach o potrzebie kształcenia specjalnego,</w:t>
      </w:r>
    </w:p>
    <w:p>
      <w:pPr>
        <w:pStyle w:val="Style6"/>
        <w:keepNext w:val="0"/>
        <w:keepLines w:val="0"/>
        <w:widowControl w:val="0"/>
        <w:numPr>
          <w:ilvl w:val="0"/>
          <w:numId w:val="5"/>
        </w:numPr>
        <w:shd w:val="clear" w:color="auto" w:fill="auto"/>
        <w:tabs>
          <w:tab w:pos="772" w:val="left"/>
        </w:tabs>
        <w:bidi w:val="0"/>
        <w:spacing w:before="0" w:after="0"/>
        <w:ind w:left="0" w:right="0" w:firstLine="420"/>
        <w:jc w:val="left"/>
      </w:pPr>
      <w:r>
        <w:rPr>
          <w:color w:val="000000"/>
          <w:spacing w:val="0"/>
          <w:w w:val="100"/>
          <w:position w:val="0"/>
          <w:shd w:val="clear" w:color="auto" w:fill="auto"/>
          <w:lang w:val="pl-PL" w:eastAsia="pl-PL" w:bidi="pl-PL"/>
        </w:rPr>
        <w:t>orzeczeniach o potrzebie zajęć rewalidacyjno-wychowawczych,</w:t>
      </w:r>
    </w:p>
    <w:p>
      <w:pPr>
        <w:pStyle w:val="Style6"/>
        <w:keepNext w:val="0"/>
        <w:keepLines w:val="0"/>
        <w:widowControl w:val="0"/>
        <w:numPr>
          <w:ilvl w:val="0"/>
          <w:numId w:val="5"/>
        </w:numPr>
        <w:shd w:val="clear" w:color="auto" w:fill="auto"/>
        <w:tabs>
          <w:tab w:pos="827" w:val="left"/>
        </w:tabs>
        <w:bidi w:val="0"/>
        <w:spacing w:before="0" w:after="0"/>
        <w:ind w:left="760" w:right="0" w:hanging="280"/>
        <w:jc w:val="both"/>
      </w:pPr>
      <w:r>
        <w:rPr>
          <w:color w:val="000000"/>
          <w:spacing w:val="0"/>
          <w:w w:val="100"/>
          <w:position w:val="0"/>
          <w:shd w:val="clear" w:color="auto" w:fill="auto"/>
          <w:lang w:val="pl-PL" w:eastAsia="pl-PL" w:bidi="pl-PL"/>
        </w:rPr>
        <w:t>indywidualnych programach zajęć, o których mowa w przepisach wydanych na podstawie art. 7 ust. 3 ustawy z dnia 19 sierpnia 1994 r. o ochronie zdrowia psychicznego,</w:t>
      </w:r>
    </w:p>
    <w:p>
      <w:pPr>
        <w:pStyle w:val="Style6"/>
        <w:keepNext w:val="0"/>
        <w:keepLines w:val="0"/>
        <w:widowControl w:val="0"/>
        <w:numPr>
          <w:ilvl w:val="0"/>
          <w:numId w:val="5"/>
        </w:numPr>
        <w:shd w:val="clear" w:color="auto" w:fill="auto"/>
        <w:tabs>
          <w:tab w:pos="837" w:val="left"/>
        </w:tabs>
        <w:bidi w:val="0"/>
        <w:spacing w:before="0" w:after="0"/>
        <w:ind w:left="760" w:right="0" w:hanging="280"/>
        <w:jc w:val="both"/>
      </w:pPr>
      <w:r>
        <w:rPr>
          <w:color w:val="000000"/>
          <w:spacing w:val="0"/>
          <w:w w:val="100"/>
          <w:position w:val="0"/>
          <w:shd w:val="clear" w:color="auto" w:fill="auto"/>
          <w:lang w:val="pl-PL" w:eastAsia="pl-PL" w:bidi="pl-PL"/>
        </w:rPr>
        <w:t>indywidualnych programach edukacyjno-terapeutycznych, o których mowa w art. 127 ust. 3 Prawo oświatowe, oraz zapewniającymi warunki realizacji tych zaleceń.</w:t>
      </w:r>
    </w:p>
    <w:p>
      <w:pPr>
        <w:pStyle w:val="Style6"/>
        <w:keepNext w:val="0"/>
        <w:keepLines w:val="0"/>
        <w:widowControl w:val="0"/>
        <w:numPr>
          <w:ilvl w:val="0"/>
          <w:numId w:val="1"/>
        </w:numPr>
        <w:shd w:val="clear" w:color="auto" w:fill="auto"/>
        <w:tabs>
          <w:tab w:pos="341" w:val="left"/>
        </w:tabs>
        <w:bidi w:val="0"/>
        <w:spacing w:before="0" w:after="0"/>
        <w:ind w:left="340" w:right="0" w:hanging="340"/>
        <w:jc w:val="both"/>
      </w:pPr>
      <w:r>
        <w:rPr>
          <w:color w:val="000000"/>
          <w:spacing w:val="0"/>
          <w:w w:val="100"/>
          <w:position w:val="0"/>
          <w:shd w:val="clear" w:color="auto" w:fill="auto"/>
          <w:lang w:val="pl-PL" w:eastAsia="pl-PL" w:bidi="pl-PL"/>
        </w:rPr>
        <w:t>Wydatki związane z realizacją zaleceń wskazanych w § 2 ust. 2, to wydatki ponoszone w szczególności na:</w:t>
      </w:r>
    </w:p>
    <w:p>
      <w:pPr>
        <w:pStyle w:val="Style6"/>
        <w:keepNext w:val="0"/>
        <w:keepLines w:val="0"/>
        <w:widowControl w:val="0"/>
        <w:numPr>
          <w:ilvl w:val="0"/>
          <w:numId w:val="7"/>
        </w:numPr>
        <w:shd w:val="clear" w:color="auto" w:fill="auto"/>
        <w:tabs>
          <w:tab w:pos="762" w:val="left"/>
        </w:tabs>
        <w:bidi w:val="0"/>
        <w:spacing w:before="0" w:after="0"/>
        <w:ind w:left="0" w:right="0" w:firstLine="420"/>
        <w:jc w:val="left"/>
      </w:pPr>
      <w:r>
        <w:rPr>
          <w:color w:val="000000"/>
          <w:spacing w:val="0"/>
          <w:w w:val="100"/>
          <w:position w:val="0"/>
          <w:shd w:val="clear" w:color="auto" w:fill="auto"/>
          <w:lang w:val="pl-PL" w:eastAsia="pl-PL" w:bidi="pl-PL"/>
        </w:rPr>
        <w:t>zajęcia rewalidacyjne oraz zajęcia z zakresu pomocy psychologiczno-pedagogicznej,</w:t>
      </w:r>
    </w:p>
    <w:p>
      <w:pPr>
        <w:pStyle w:val="Style6"/>
        <w:keepNext w:val="0"/>
        <w:keepLines w:val="0"/>
        <w:widowControl w:val="0"/>
        <w:numPr>
          <w:ilvl w:val="0"/>
          <w:numId w:val="7"/>
        </w:numPr>
        <w:shd w:val="clear" w:color="auto" w:fill="auto"/>
        <w:tabs>
          <w:tab w:pos="762" w:val="left"/>
        </w:tabs>
        <w:bidi w:val="0"/>
        <w:spacing w:before="0" w:after="0"/>
        <w:ind w:left="760" w:right="0" w:hanging="380"/>
        <w:jc w:val="both"/>
      </w:pPr>
      <w:r>
        <w:rPr>
          <w:color w:val="000000"/>
          <w:spacing w:val="0"/>
          <w:w w:val="100"/>
          <w:position w:val="0"/>
          <w:shd w:val="clear" w:color="auto" w:fill="auto"/>
          <w:lang w:val="pl-PL" w:eastAsia="pl-PL" w:bidi="pl-PL"/>
        </w:rPr>
        <w:t>zatrudnienia dodatkowej kadry wspierającej (nauczyciela wspomagającego, pomocy nauczyciela),</w:t>
      </w:r>
    </w:p>
    <w:p>
      <w:pPr>
        <w:pStyle w:val="Style6"/>
        <w:keepNext w:val="0"/>
        <w:keepLines w:val="0"/>
        <w:widowControl w:val="0"/>
        <w:numPr>
          <w:ilvl w:val="0"/>
          <w:numId w:val="7"/>
        </w:numPr>
        <w:shd w:val="clear" w:color="auto" w:fill="auto"/>
        <w:tabs>
          <w:tab w:pos="762" w:val="left"/>
        </w:tabs>
        <w:bidi w:val="0"/>
        <w:spacing w:before="0" w:after="0"/>
        <w:ind w:left="0" w:right="0" w:firstLine="340"/>
        <w:jc w:val="left"/>
      </w:pPr>
      <w:r>
        <w:rPr>
          <w:color w:val="000000"/>
          <w:spacing w:val="0"/>
          <w:w w:val="100"/>
          <w:position w:val="0"/>
          <w:shd w:val="clear" w:color="auto" w:fill="auto"/>
          <w:lang w:val="pl-PL" w:eastAsia="pl-PL" w:bidi="pl-PL"/>
        </w:rPr>
        <w:t>pomoce dydaktyczne dla dzieci niepełnosprawnych,</w:t>
      </w:r>
    </w:p>
    <w:p>
      <w:pPr>
        <w:pStyle w:val="Style6"/>
        <w:keepNext w:val="0"/>
        <w:keepLines w:val="0"/>
        <w:widowControl w:val="0"/>
        <w:numPr>
          <w:ilvl w:val="0"/>
          <w:numId w:val="7"/>
        </w:numPr>
        <w:shd w:val="clear" w:color="auto" w:fill="auto"/>
        <w:tabs>
          <w:tab w:pos="762" w:val="left"/>
        </w:tabs>
        <w:bidi w:val="0"/>
        <w:spacing w:before="0" w:after="220"/>
        <w:ind w:left="0" w:right="0" w:firstLine="340"/>
        <w:jc w:val="left"/>
      </w:pPr>
      <w:r>
        <w:rPr>
          <w:color w:val="000000"/>
          <w:spacing w:val="0"/>
          <w:w w:val="100"/>
          <w:position w:val="0"/>
          <w:shd w:val="clear" w:color="auto" w:fill="auto"/>
          <w:lang w:val="pl-PL" w:eastAsia="pl-PL" w:bidi="pl-PL"/>
        </w:rPr>
        <w:t>organizację wybranych zajęć indywidualnych,</w:t>
      </w:r>
    </w:p>
    <w:p>
      <w:pPr>
        <w:pStyle w:val="Style6"/>
        <w:keepNext w:val="0"/>
        <w:keepLines w:val="0"/>
        <w:widowControl w:val="0"/>
        <w:numPr>
          <w:ilvl w:val="0"/>
          <w:numId w:val="7"/>
        </w:numPr>
        <w:shd w:val="clear" w:color="auto" w:fill="auto"/>
        <w:tabs>
          <w:tab w:pos="755" w:val="left"/>
        </w:tabs>
        <w:bidi w:val="0"/>
        <w:spacing w:before="0" w:after="0" w:line="264" w:lineRule="auto"/>
        <w:ind w:left="0" w:right="0" w:firstLine="400"/>
        <w:jc w:val="left"/>
      </w:pPr>
      <w:r>
        <w:rPr>
          <w:color w:val="000000"/>
          <w:spacing w:val="0"/>
          <w:w w:val="100"/>
          <w:position w:val="0"/>
          <w:shd w:val="clear" w:color="auto" w:fill="auto"/>
          <w:lang w:val="pl-PL" w:eastAsia="pl-PL" w:bidi="pl-PL"/>
        </w:rPr>
        <w:t>organizację wybranych zajęć w grupie do 5 osób, jeśli uczeń takich wymaga.</w:t>
      </w:r>
    </w:p>
    <w:p>
      <w:pPr>
        <w:pStyle w:val="Style6"/>
        <w:keepNext w:val="0"/>
        <w:keepLines w:val="0"/>
        <w:widowControl w:val="0"/>
        <w:numPr>
          <w:ilvl w:val="0"/>
          <w:numId w:val="1"/>
        </w:numPr>
        <w:shd w:val="clear" w:color="auto" w:fill="auto"/>
        <w:tabs>
          <w:tab w:pos="344" w:val="left"/>
        </w:tabs>
        <w:bidi w:val="0"/>
        <w:spacing w:before="0" w:after="0" w:line="264" w:lineRule="auto"/>
        <w:ind w:left="360" w:right="0" w:hanging="360"/>
        <w:jc w:val="both"/>
      </w:pPr>
      <w:r>
        <w:rPr>
          <w:color w:val="000000"/>
          <w:spacing w:val="0"/>
          <w:w w:val="100"/>
          <w:position w:val="0"/>
          <w:shd w:val="clear" w:color="auto" w:fill="auto"/>
          <w:lang w:val="pl-PL" w:eastAsia="pl-PL" w:bidi="pl-PL"/>
        </w:rPr>
        <w:t>Szczegółowy zakres wydatków do wyodrębnienia w rozdziałach, o których mowa w § 3, ustala się następująco:</w:t>
      </w:r>
    </w:p>
    <w:p>
      <w:pPr>
        <w:pStyle w:val="Style6"/>
        <w:keepNext w:val="0"/>
        <w:keepLines w:val="0"/>
        <w:widowControl w:val="0"/>
        <w:numPr>
          <w:ilvl w:val="0"/>
          <w:numId w:val="9"/>
        </w:numPr>
        <w:shd w:val="clear" w:color="auto" w:fill="auto"/>
        <w:tabs>
          <w:tab w:pos="760" w:val="left"/>
        </w:tabs>
        <w:bidi w:val="0"/>
        <w:spacing w:before="0" w:after="0" w:line="264" w:lineRule="auto"/>
        <w:ind w:left="1180" w:right="0" w:hanging="760"/>
        <w:jc w:val="left"/>
      </w:pPr>
      <w:r>
        <w:rPr>
          <w:color w:val="000000"/>
          <w:spacing w:val="0"/>
          <w:w w:val="100"/>
          <w:position w:val="0"/>
          <w:shd w:val="clear" w:color="auto" w:fill="auto"/>
          <w:lang w:val="pl-PL" w:eastAsia="pl-PL" w:bidi="pl-PL"/>
        </w:rPr>
        <w:t>wynagrodzenia wraz z pochodnymi w pełnej wysokości (ze wszystkimi pochodnymi): a) nauczycieli wspomagających, b) pomocy nauczyciela,</w:t>
      </w:r>
    </w:p>
    <w:p>
      <w:pPr>
        <w:pStyle w:val="Style6"/>
        <w:keepNext w:val="0"/>
        <w:keepLines w:val="0"/>
        <w:widowControl w:val="0"/>
        <w:shd w:val="clear" w:color="auto" w:fill="auto"/>
        <w:bidi w:val="0"/>
        <w:spacing w:before="0" w:after="0" w:line="264" w:lineRule="auto"/>
        <w:ind w:left="1540" w:right="0" w:hanging="360"/>
        <w:jc w:val="both"/>
      </w:pPr>
      <w:r>
        <w:rPr>
          <w:color w:val="000000"/>
          <w:spacing w:val="0"/>
          <w:w w:val="100"/>
          <w:position w:val="0"/>
          <w:shd w:val="clear" w:color="auto" w:fill="auto"/>
          <w:lang w:val="pl-PL" w:eastAsia="pl-PL" w:bidi="pl-PL"/>
        </w:rPr>
        <w:t>c) zatrudnionych w celu wspierania ucznia niepełnosprawnego posiadającego orzeczenie, o którym mowa w art. 127 ust. 10 Prawo oświatowe,</w:t>
      </w:r>
    </w:p>
    <w:p>
      <w:pPr>
        <w:pStyle w:val="Style6"/>
        <w:keepNext w:val="0"/>
        <w:keepLines w:val="0"/>
        <w:widowControl w:val="0"/>
        <w:numPr>
          <w:ilvl w:val="0"/>
          <w:numId w:val="9"/>
        </w:numPr>
        <w:shd w:val="clear" w:color="auto" w:fill="auto"/>
        <w:tabs>
          <w:tab w:pos="775" w:val="left"/>
        </w:tabs>
        <w:bidi w:val="0"/>
        <w:spacing w:before="0" w:after="0" w:line="264" w:lineRule="auto"/>
        <w:ind w:left="740" w:right="0" w:hanging="320"/>
        <w:jc w:val="both"/>
      </w:pPr>
      <w:r>
        <w:rPr>
          <w:color w:val="000000"/>
          <w:spacing w:val="0"/>
          <w:w w:val="100"/>
          <w:position w:val="0"/>
          <w:shd w:val="clear" w:color="auto" w:fill="auto"/>
          <w:lang w:val="pl-PL" w:eastAsia="pl-PL" w:bidi="pl-PL"/>
        </w:rPr>
        <w:t>wynagrodzenia (ze wszystkimi pochodnymi) w wysokości odpowiadaj ącej zaplanowanej liczbie godzin nauczycieli, w tym nauczycieli ogólnokształcących oraz specjalistów - logopeda, psycholog, psycholog specjalny, pedagog:</w:t>
      </w:r>
    </w:p>
    <w:p>
      <w:pPr>
        <w:pStyle w:val="Style6"/>
        <w:keepNext w:val="0"/>
        <w:keepLines w:val="0"/>
        <w:widowControl w:val="0"/>
        <w:numPr>
          <w:ilvl w:val="0"/>
          <w:numId w:val="11"/>
        </w:numPr>
        <w:shd w:val="clear" w:color="auto" w:fill="auto"/>
        <w:tabs>
          <w:tab w:pos="1685" w:val="left"/>
        </w:tabs>
        <w:bidi w:val="0"/>
        <w:spacing w:before="0" w:after="0" w:line="264" w:lineRule="auto"/>
        <w:ind w:left="740" w:right="0" w:firstLine="720"/>
        <w:jc w:val="both"/>
      </w:pPr>
      <w:r>
        <w:rPr>
          <w:color w:val="000000"/>
          <w:spacing w:val="0"/>
          <w:w w:val="100"/>
          <w:position w:val="0"/>
          <w:shd w:val="clear" w:color="auto" w:fill="auto"/>
          <w:lang w:val="pl-PL" w:eastAsia="pl-PL" w:bidi="pl-PL"/>
        </w:rPr>
        <w:t>za godziny zajęć indywidualnych z uczniem, w tym nauczanie indywidualne, zajęcia rewalidacyjne realizowane z uczniem/wychowankiem posiadającym orzeczenie, o którym mowa w art. 127 ust. 10 Prawo oświatowe,</w:t>
      </w:r>
    </w:p>
    <w:p>
      <w:pPr>
        <w:pStyle w:val="Style6"/>
        <w:keepNext w:val="0"/>
        <w:keepLines w:val="0"/>
        <w:widowControl w:val="0"/>
        <w:numPr>
          <w:ilvl w:val="0"/>
          <w:numId w:val="11"/>
        </w:numPr>
        <w:shd w:val="clear" w:color="auto" w:fill="auto"/>
        <w:tabs>
          <w:tab w:pos="1680" w:val="left"/>
        </w:tabs>
        <w:bidi w:val="0"/>
        <w:spacing w:before="0" w:after="0" w:line="264" w:lineRule="auto"/>
        <w:ind w:left="740" w:right="0" w:firstLine="720"/>
        <w:jc w:val="both"/>
      </w:pPr>
      <w:r>
        <w:rPr>
          <w:color w:val="000000"/>
          <w:spacing w:val="0"/>
          <w:w w:val="100"/>
          <w:position w:val="0"/>
          <w:shd w:val="clear" w:color="auto" w:fill="auto"/>
          <w:lang w:val="pl-PL" w:eastAsia="pl-PL" w:bidi="pl-PL"/>
        </w:rPr>
        <w:t>za godziny zajęć innych, wynikających z indywidualnych programów edukacyjno-terapeutycznych.</w:t>
      </w:r>
    </w:p>
    <w:p>
      <w:pPr>
        <w:pStyle w:val="Style6"/>
        <w:keepNext w:val="0"/>
        <w:keepLines w:val="0"/>
        <w:widowControl w:val="0"/>
        <w:numPr>
          <w:ilvl w:val="0"/>
          <w:numId w:val="9"/>
        </w:numPr>
        <w:shd w:val="clear" w:color="auto" w:fill="auto"/>
        <w:tabs>
          <w:tab w:pos="755" w:val="left"/>
        </w:tabs>
        <w:bidi w:val="0"/>
        <w:spacing w:before="0" w:after="0" w:line="264" w:lineRule="auto"/>
        <w:ind w:left="0" w:right="0" w:firstLine="400"/>
        <w:jc w:val="left"/>
      </w:pPr>
      <w:r>
        <w:rPr>
          <w:color w:val="000000"/>
          <w:spacing w:val="0"/>
          <w:w w:val="100"/>
          <w:position w:val="0"/>
          <w:shd w:val="clear" w:color="auto" w:fill="auto"/>
          <w:lang w:val="pl-PL" w:eastAsia="pl-PL" w:bidi="pl-PL"/>
        </w:rPr>
        <w:t>doskonalenie zawodowe nauczycieli w zakresie kształcenia specjalnego,</w:t>
      </w:r>
    </w:p>
    <w:p>
      <w:pPr>
        <w:pStyle w:val="Style6"/>
        <w:keepNext w:val="0"/>
        <w:keepLines w:val="0"/>
        <w:widowControl w:val="0"/>
        <w:numPr>
          <w:ilvl w:val="0"/>
          <w:numId w:val="9"/>
        </w:numPr>
        <w:shd w:val="clear" w:color="auto" w:fill="auto"/>
        <w:tabs>
          <w:tab w:pos="780" w:val="left"/>
        </w:tabs>
        <w:bidi w:val="0"/>
        <w:spacing w:before="0" w:after="0" w:line="264" w:lineRule="auto"/>
        <w:ind w:left="740" w:right="0" w:hanging="320"/>
        <w:jc w:val="both"/>
      </w:pPr>
      <w:r>
        <w:rPr>
          <w:color w:val="000000"/>
          <w:spacing w:val="0"/>
          <w:w w:val="100"/>
          <w:position w:val="0"/>
          <w:shd w:val="clear" w:color="auto" w:fill="auto"/>
          <w:lang w:val="pl-PL" w:eastAsia="pl-PL" w:bidi="pl-PL"/>
        </w:rPr>
        <w:t>wydatki rzeczowe w pełnej wysokości dotyczące wyłącznie kształcenia specjalnego (np. pomoce dydaktyczne i wyposażenie z przeznaczeniem do użytku dla dzieci i młodzieży o specjalnych potrzebach edukacyjnych),</w:t>
      </w:r>
    </w:p>
    <w:p>
      <w:pPr>
        <w:pStyle w:val="Style6"/>
        <w:keepNext w:val="0"/>
        <w:keepLines w:val="0"/>
        <w:widowControl w:val="0"/>
        <w:numPr>
          <w:ilvl w:val="0"/>
          <w:numId w:val="9"/>
        </w:numPr>
        <w:shd w:val="clear" w:color="auto" w:fill="auto"/>
        <w:tabs>
          <w:tab w:pos="775" w:val="left"/>
        </w:tabs>
        <w:bidi w:val="0"/>
        <w:spacing w:before="0" w:after="240" w:line="264" w:lineRule="auto"/>
        <w:ind w:left="740" w:right="0" w:hanging="320"/>
        <w:jc w:val="both"/>
      </w:pPr>
      <w:r>
        <w:rPr>
          <w:color w:val="000000"/>
          <w:spacing w:val="0"/>
          <w:w w:val="100"/>
          <w:position w:val="0"/>
          <w:shd w:val="clear" w:color="auto" w:fill="auto"/>
          <w:lang w:val="pl-PL" w:eastAsia="pl-PL" w:bidi="pl-PL"/>
        </w:rPr>
        <w:t>remonty i inwestycje uwzględniające dostosowanie obiektów na potrzeby uczniów posiadających orzeczenia o potrzebie kształcenia specjalnego.</w:t>
      </w:r>
    </w:p>
    <w:p>
      <w:pPr>
        <w:pStyle w:val="Style10"/>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z w:val="24"/>
          <w:szCs w:val="24"/>
          <w:shd w:val="clear" w:color="auto" w:fill="auto"/>
          <w:lang w:val="pl-PL" w:eastAsia="pl-PL" w:bidi="pl-PL"/>
        </w:rPr>
        <w:t>§3</w:t>
      </w:r>
      <w:bookmarkEnd w:id="4"/>
    </w:p>
    <w:p>
      <w:pPr>
        <w:pStyle w:val="Style6"/>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pl-PL" w:eastAsia="pl-PL" w:bidi="pl-PL"/>
        </w:rPr>
        <w:t>Wydatki związane z realizacją zadań wymagających stosowania specjalnej organizacji nauki i metod pracy w szkołach i przedszkolach są finansowane z budżetu Gminy Węgliniec w ramach uchwalonego budżetu na dany rok budżetowy w dziale 801- Oświata i Wychowanie, w rozdziałach:</w:t>
      </w:r>
    </w:p>
    <w:p>
      <w:pPr>
        <w:pStyle w:val="Style6"/>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pl-PL" w:eastAsia="pl-PL" w:bidi="pl-PL"/>
        </w:rPr>
        <w:t>80149- realizacja zadań wymagających stosowania specjalnej organizacji nauki i metod pracy dla dzieci w przedszkolach, oddziałach przedszkolnych w szkołach podstawowych i innych formach wychowania przedszkolnego,</w:t>
      </w:r>
    </w:p>
    <w:p>
      <w:pPr>
        <w:pStyle w:val="Style6"/>
        <w:keepNext w:val="0"/>
        <w:keepLines w:val="0"/>
        <w:widowControl w:val="0"/>
        <w:shd w:val="clear" w:color="auto" w:fill="auto"/>
        <w:bidi w:val="0"/>
        <w:spacing w:before="0" w:after="560" w:line="264" w:lineRule="auto"/>
        <w:ind w:left="0" w:right="0" w:firstLine="0"/>
        <w:jc w:val="both"/>
      </w:pPr>
      <w:r>
        <w:rPr>
          <w:color w:val="000000"/>
          <w:spacing w:val="0"/>
          <w:w w:val="100"/>
          <w:position w:val="0"/>
          <w:shd w:val="clear" w:color="auto" w:fill="auto"/>
          <w:lang w:val="pl-PL" w:eastAsia="pl-PL" w:bidi="pl-PL"/>
        </w:rPr>
        <w:t>80150- realizacja zadań wymagających stosowania specjalnej organizacji nauki i metod pracy dla dzieci i młodzieży w szkołach podstawowych,</w:t>
      </w:r>
    </w:p>
    <w:p>
      <w:pPr>
        <w:pStyle w:val="Style10"/>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z w:val="24"/>
          <w:szCs w:val="24"/>
          <w:shd w:val="clear" w:color="auto" w:fill="auto"/>
          <w:lang w:val="pl-PL" w:eastAsia="pl-PL" w:bidi="pl-PL"/>
        </w:rPr>
        <w:t>§4</w:t>
      </w:r>
      <w:bookmarkEnd w:id="6"/>
    </w:p>
    <w:p>
      <w:pPr>
        <w:pStyle w:val="Style6"/>
        <w:keepNext w:val="0"/>
        <w:keepLines w:val="0"/>
        <w:widowControl w:val="0"/>
        <w:numPr>
          <w:ilvl w:val="0"/>
          <w:numId w:val="13"/>
        </w:numPr>
        <w:shd w:val="clear" w:color="auto" w:fill="auto"/>
        <w:tabs>
          <w:tab w:pos="344" w:val="left"/>
        </w:tabs>
        <w:bidi w:val="0"/>
        <w:spacing w:before="0" w:after="0" w:line="259" w:lineRule="auto"/>
        <w:ind w:left="0" w:right="0" w:firstLine="0"/>
        <w:jc w:val="both"/>
      </w:pPr>
      <w:r>
        <w:rPr>
          <w:color w:val="000000"/>
          <w:spacing w:val="0"/>
          <w:w w:val="100"/>
          <w:position w:val="0"/>
          <w:shd w:val="clear" w:color="auto" w:fill="auto"/>
          <w:lang w:val="pl-PL" w:eastAsia="pl-PL" w:bidi="pl-PL"/>
        </w:rPr>
        <w:t>Dla szkół prowadzących oddziały integracyjne wysokość środków przeznaczonych na realizację zadań związanych z organizacją kształcenia specjalnego, o którym mowa w art. 127 ust. 1 ustawy Prawo oświatowe (Dz.U. z 2021r. poz. 1082 z późn. zm.) wylicza się za pomocą wzoru, o którym mowa w art. 8 ust. 2 pkt. 3 ustawy o finansowaniu zadań oświatowych.</w:t>
      </w:r>
    </w:p>
    <w:p>
      <w:pPr>
        <w:pStyle w:val="Style6"/>
        <w:keepNext w:val="0"/>
        <w:keepLines w:val="0"/>
        <w:widowControl w:val="0"/>
        <w:numPr>
          <w:ilvl w:val="0"/>
          <w:numId w:val="13"/>
        </w:numPr>
        <w:shd w:val="clear" w:color="auto" w:fill="auto"/>
        <w:tabs>
          <w:tab w:pos="344" w:val="left"/>
        </w:tabs>
        <w:bidi w:val="0"/>
        <w:spacing w:before="0" w:after="0" w:line="259" w:lineRule="auto"/>
        <w:ind w:left="0" w:right="0" w:firstLine="0"/>
        <w:jc w:val="left"/>
      </w:pPr>
      <w:r>
        <w:rPr>
          <w:color w:val="000000"/>
          <w:spacing w:val="0"/>
          <w:w w:val="100"/>
          <w:position w:val="0"/>
          <w:shd w:val="clear" w:color="auto" w:fill="auto"/>
          <w:lang w:val="pl-PL" w:eastAsia="pl-PL" w:bidi="pl-PL"/>
        </w:rPr>
        <w:t>Środków wyliczonych za pomocą wzoru nie klasyfikuje się do rozdziałów 80149, 80150.</w:t>
      </w:r>
    </w:p>
    <w:p>
      <w:pPr>
        <w:pStyle w:val="Style6"/>
        <w:keepNext w:val="0"/>
        <w:keepLines w:val="0"/>
        <w:widowControl w:val="0"/>
        <w:numPr>
          <w:ilvl w:val="0"/>
          <w:numId w:val="13"/>
        </w:numPr>
        <w:shd w:val="clear" w:color="auto" w:fill="auto"/>
        <w:tabs>
          <w:tab w:pos="344" w:val="left"/>
        </w:tabs>
        <w:bidi w:val="0"/>
        <w:spacing w:before="0" w:after="240" w:line="259" w:lineRule="auto"/>
        <w:ind w:left="0" w:right="0" w:firstLine="0"/>
        <w:jc w:val="left"/>
      </w:pPr>
      <w:r>
        <w:rPr>
          <w:color w:val="000000"/>
          <w:spacing w:val="0"/>
          <w:w w:val="100"/>
          <w:position w:val="0"/>
          <w:shd w:val="clear" w:color="auto" w:fill="auto"/>
          <w:lang w:val="pl-PL" w:eastAsia="pl-PL" w:bidi="pl-PL"/>
        </w:rPr>
        <w:t>Środki te traktowane są jako wydatki związane z kształceniem specjalnym.</w:t>
      </w:r>
    </w:p>
    <w:p>
      <w:pPr>
        <w:pStyle w:val="Style10"/>
        <w:keepNext/>
        <w:keepLines/>
        <w:widowControl w:val="0"/>
        <w:shd w:val="clear" w:color="auto" w:fill="auto"/>
        <w:bidi w:val="0"/>
        <w:spacing w:before="0" w:line="240" w:lineRule="auto"/>
        <w:ind w:left="0" w:right="0" w:firstLine="0"/>
        <w:jc w:val="center"/>
      </w:pPr>
      <w:bookmarkStart w:id="8" w:name="bookmark8"/>
      <w:r>
        <w:rPr>
          <w:color w:val="000000"/>
          <w:spacing w:val="0"/>
          <w:w w:val="100"/>
          <w:position w:val="0"/>
          <w:sz w:val="24"/>
          <w:szCs w:val="24"/>
          <w:shd w:val="clear" w:color="auto" w:fill="auto"/>
          <w:lang w:val="pl-PL" w:eastAsia="pl-PL" w:bidi="pl-PL"/>
        </w:rPr>
        <w:t>§5</w:t>
      </w:r>
      <w:bookmarkEnd w:id="8"/>
    </w:p>
    <w:p>
      <w:pPr>
        <w:pStyle w:val="Style6"/>
        <w:keepNext w:val="0"/>
        <w:keepLines w:val="0"/>
        <w:widowControl w:val="0"/>
        <w:shd w:val="clear" w:color="auto" w:fill="auto"/>
        <w:bidi w:val="0"/>
        <w:spacing w:before="0" w:after="240" w:line="257" w:lineRule="auto"/>
        <w:ind w:left="0" w:right="0" w:firstLine="0"/>
        <w:jc w:val="both"/>
      </w:pPr>
      <w:r>
        <w:rPr>
          <w:color w:val="000000"/>
          <w:spacing w:val="0"/>
          <w:w w:val="100"/>
          <w:position w:val="0"/>
          <w:shd w:val="clear" w:color="auto" w:fill="auto"/>
          <w:lang w:val="pl-PL" w:eastAsia="pl-PL" w:bidi="pl-PL"/>
        </w:rPr>
        <w:t>Zapisu na kontach ksiąg rachunkowych dokonuje się na bieżąco, na podstawie dokumentów źródłowych zatwierdzonych przez osoby upoważnione odrębnym Zarządzeniem Dyrektora do kontroli merytorycznej dokumentów źródłowych, nie później jednak niż na koniec miesiąca.</w:t>
      </w:r>
      <w:r>
        <w:br w:type="page"/>
      </w:r>
    </w:p>
    <w:p>
      <w:pPr>
        <w:pStyle w:val="Style10"/>
        <w:keepNext/>
        <w:keepLines/>
        <w:widowControl w:val="0"/>
        <w:shd w:val="clear" w:color="auto" w:fill="auto"/>
        <w:bidi w:val="0"/>
        <w:spacing w:before="0" w:line="240" w:lineRule="auto"/>
        <w:ind w:left="0" w:right="0" w:firstLine="0"/>
        <w:jc w:val="center"/>
      </w:pPr>
      <w:bookmarkStart w:id="10" w:name="bookmark10"/>
      <w:r>
        <w:rPr>
          <w:color w:val="000000"/>
          <w:spacing w:val="0"/>
          <w:w w:val="100"/>
          <w:position w:val="0"/>
          <w:sz w:val="24"/>
          <w:szCs w:val="24"/>
          <w:shd w:val="clear" w:color="auto" w:fill="auto"/>
          <w:lang w:val="pl-PL" w:eastAsia="pl-PL" w:bidi="pl-PL"/>
        </w:rPr>
        <w:t>§6</w:t>
      </w:r>
      <w:bookmarkEnd w:id="10"/>
    </w:p>
    <w:p>
      <w:pPr>
        <w:pStyle w:val="Style6"/>
        <w:keepNext w:val="0"/>
        <w:keepLines w:val="0"/>
        <w:widowControl w:val="0"/>
        <w:shd w:val="clear" w:color="auto" w:fill="auto"/>
        <w:bidi w:val="0"/>
        <w:spacing w:before="0" w:after="580" w:line="254" w:lineRule="auto"/>
        <w:ind w:left="0" w:right="0" w:firstLine="0"/>
        <w:jc w:val="left"/>
      </w:pPr>
      <w:r>
        <w:rPr>
          <w:color w:val="000000"/>
          <w:spacing w:val="0"/>
          <w:w w:val="100"/>
          <w:position w:val="0"/>
          <w:shd w:val="clear" w:color="auto" w:fill="auto"/>
          <w:lang w:val="pl-PL" w:eastAsia="pl-PL" w:bidi="pl-PL"/>
        </w:rPr>
        <w:t>Wykonanie zarządzenia powierza się dyrektorom gminnych jednostek oświatowych oraz kierownikowi Wydziału Usług Wspólnych i Rozwoju.</w:t>
      </w:r>
    </w:p>
    <w:p>
      <w:pPr>
        <w:pStyle w:val="Style6"/>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pl-PL" w:eastAsia="pl-PL" w:bidi="pl-PL"/>
        </w:rPr>
        <w:t>§7.</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Zarządzenie obowiązuje z dniem podpisania.</w:t>
      </w:r>
    </w:p>
    <w:p>
      <w:pPr>
        <w:widowControl w:val="0"/>
        <w:spacing w:line="1" w:lineRule="exact"/>
        <w:sectPr>
          <w:footnotePr>
            <w:pos w:val="pageBottom"/>
            <w:numFmt w:val="decimal"/>
            <w:numRestart w:val="continuous"/>
          </w:footnotePr>
          <w:pgSz w:w="11900" w:h="16840"/>
          <w:pgMar w:top="402" w:right="1233" w:bottom="1814" w:left="1302" w:header="0" w:footer="1386" w:gutter="0"/>
          <w:pgNumType w:start="1"/>
          <w:cols w:space="720"/>
          <w:noEndnote/>
          <w:rtlGutter w:val="0"/>
          <w:docGrid w:linePitch="360"/>
        </w:sectPr>
      </w:pPr>
      <w:r>
        <mc:AlternateContent>
          <mc:Choice Requires="wps">
            <w:drawing>
              <wp:anchor distT="469900" distB="520700" distL="0" distR="0" simplePos="0" relativeHeight="125829378" behindDoc="0" locked="0" layoutInCell="1" allowOverlap="1">
                <wp:simplePos x="0" y="0"/>
                <wp:positionH relativeFrom="page">
                  <wp:posOffset>4996180</wp:posOffset>
                </wp:positionH>
                <wp:positionV relativeFrom="paragraph">
                  <wp:posOffset>469900</wp:posOffset>
                </wp:positionV>
                <wp:extent cx="636905" cy="128270"/>
                <wp:wrapTopAndBottom/>
                <wp:docPr id="1" name="Shape 1"/>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l-PL" w:eastAsia="pl-PL" w:bidi="pl-PL"/>
                              </w:rPr>
                              <w:t>Burmistrz</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93.40000000000003pt;margin-top:37.pt;width:50.149999999999999pt;height:10.1pt;z-index:-125829375;mso-wrap-distance-left:0;mso-wrap-distance-top:37.pt;mso-wrap-distance-right:0;mso-wrap-distance-bottom:4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l-PL" w:eastAsia="pl-PL" w:bidi="pl-PL"/>
                        </w:rPr>
                        <w:t>Burmistrz</w:t>
                      </w:r>
                    </w:p>
                  </w:txbxContent>
                </v:textbox>
                <w10:wrap type="topAndBottom" anchorx="page"/>
              </v:shape>
            </w:pict>
          </mc:Fallback>
        </mc:AlternateContent>
      </w:r>
      <w:r>
        <mc:AlternateContent>
          <mc:Choice Requires="wps">
            <w:drawing>
              <wp:anchor distT="600710" distB="0" distL="0" distR="0" simplePos="0" relativeHeight="125829380" behindDoc="0" locked="0" layoutInCell="1" allowOverlap="1">
                <wp:simplePos x="0" y="0"/>
                <wp:positionH relativeFrom="page">
                  <wp:posOffset>4667250</wp:posOffset>
                </wp:positionH>
                <wp:positionV relativeFrom="paragraph">
                  <wp:posOffset>600710</wp:posOffset>
                </wp:positionV>
                <wp:extent cx="518160" cy="518160"/>
                <wp:wrapTopAndBottom/>
                <wp:docPr id="3" name="Shape 3"/>
                <a:graphic xmlns:a="http://schemas.openxmlformats.org/drawingml/2006/main">
                  <a:graphicData uri="http://schemas.microsoft.com/office/word/2010/wordprocessingShape">
                    <wps:wsp>
                      <wps:cNvSpPr txBox="1"/>
                      <wps:spPr>
                        <a:xfrm>
                          <a:ext cx="518160" cy="518160"/>
                        </a:xfrm>
                        <a:prstGeom prst="rect"/>
                        <a:noFill/>
                      </wps:spPr>
                      <wps:txbx>
                        <w:txbxContent>
                          <w:p>
                            <w:pPr>
                              <w:pStyle w:val="Style2"/>
                              <w:keepNext w:val="0"/>
                              <w:keepLines w:val="0"/>
                              <w:widowControl w:val="0"/>
                              <w:shd w:val="clear" w:color="auto" w:fill="auto"/>
                              <w:bidi w:val="0"/>
                              <w:spacing w:before="0" w:after="0" w:line="463" w:lineRule="auto"/>
                              <w:ind w:left="0" w:right="0" w:firstLine="0"/>
                              <w:jc w:val="right"/>
                            </w:pPr>
                            <w:r>
                              <w:rPr>
                                <w:spacing w:val="0"/>
                                <w:w w:val="100"/>
                                <w:position w:val="0"/>
                                <w:shd w:val="clear" w:color="auto" w:fill="auto"/>
                                <w:lang w:val="pl-PL" w:eastAsia="pl-PL" w:bidi="pl-PL"/>
                              </w:rPr>
                              <w:t xml:space="preserve">Gminy i M </w:t>
                            </w:r>
                            <w:r>
                              <w:rPr>
                                <w:color w:val="A96FA1"/>
                                <w:spacing w:val="0"/>
                                <w:w w:val="100"/>
                                <w:position w:val="0"/>
                                <w:shd w:val="clear" w:color="auto" w:fill="auto"/>
                                <w:lang w:val="pl-PL" w:eastAsia="pl-PL" w:bidi="pl-PL"/>
                              </w:rPr>
                              <w:t>Mariul?</w:t>
                            </w:r>
                          </w:p>
                        </w:txbxContent>
                      </wps:txbx>
                      <wps:bodyPr lIns="0" tIns="0" rIns="0" bIns="0">
                        <a:noAutoFit/>
                      </wps:bodyPr>
                    </wps:wsp>
                  </a:graphicData>
                </a:graphic>
              </wp:anchor>
            </w:drawing>
          </mc:Choice>
          <mc:Fallback>
            <w:pict>
              <v:shape id="_x0000_s1029" type="#_x0000_t202" style="position:absolute;margin-left:367.5pt;margin-top:47.300000000000004pt;width:40.800000000000004pt;height:40.800000000000004pt;z-index:-125829373;mso-wrap-distance-left:0;mso-wrap-distance-top:47.300000000000004pt;mso-wrap-distance-right:0;mso-position-horizontal-relative:page" filled="f" stroked="f">
                <v:textbox inset="0,0,0,0">
                  <w:txbxContent>
                    <w:p>
                      <w:pPr>
                        <w:pStyle w:val="Style2"/>
                        <w:keepNext w:val="0"/>
                        <w:keepLines w:val="0"/>
                        <w:widowControl w:val="0"/>
                        <w:shd w:val="clear" w:color="auto" w:fill="auto"/>
                        <w:bidi w:val="0"/>
                        <w:spacing w:before="0" w:after="0" w:line="463" w:lineRule="auto"/>
                        <w:ind w:left="0" w:right="0" w:firstLine="0"/>
                        <w:jc w:val="right"/>
                      </w:pPr>
                      <w:r>
                        <w:rPr>
                          <w:spacing w:val="0"/>
                          <w:w w:val="100"/>
                          <w:position w:val="0"/>
                          <w:shd w:val="clear" w:color="auto" w:fill="auto"/>
                          <w:lang w:val="pl-PL" w:eastAsia="pl-PL" w:bidi="pl-PL"/>
                        </w:rPr>
                        <w:t xml:space="preserve">Gminy i M </w:t>
                      </w:r>
                      <w:r>
                        <w:rPr>
                          <w:color w:val="A96FA1"/>
                          <w:spacing w:val="0"/>
                          <w:w w:val="100"/>
                          <w:position w:val="0"/>
                          <w:shd w:val="clear" w:color="auto" w:fill="auto"/>
                          <w:lang w:val="pl-PL" w:eastAsia="pl-PL" w:bidi="pl-PL"/>
                        </w:rPr>
                        <w:t>Mariul?</w:t>
                      </w:r>
                    </w:p>
                  </w:txbxContent>
                </v:textbox>
                <w10:wrap type="topAndBottom" anchorx="page"/>
              </v:shape>
            </w:pict>
          </mc:Fallback>
        </mc:AlternateContent>
      </w:r>
      <w:r>
        <w:drawing>
          <wp:anchor distT="625475" distB="200660" distL="0" distR="0" simplePos="0" relativeHeight="125829382" behindDoc="0" locked="0" layoutInCell="1" allowOverlap="1">
            <wp:simplePos x="0" y="0"/>
            <wp:positionH relativeFrom="page">
              <wp:posOffset>5185410</wp:posOffset>
            </wp:positionH>
            <wp:positionV relativeFrom="paragraph">
              <wp:posOffset>625475</wp:posOffset>
            </wp:positionV>
            <wp:extent cx="17081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70815" cy="292735"/>
                    </a:xfrm>
                    <a:prstGeom prst="rect"/>
                  </pic:spPr>
                </pic:pic>
              </a:graphicData>
            </a:graphic>
          </wp:anchor>
        </w:drawing>
      </w:r>
      <w:r>
        <mc:AlternateContent>
          <mc:Choice Requires="wps">
            <w:drawing>
              <wp:anchor distT="594995" distB="130810" distL="0" distR="0" simplePos="0" relativeHeight="125829383" behindDoc="0" locked="0" layoutInCell="1" allowOverlap="1">
                <wp:simplePos x="0" y="0"/>
                <wp:positionH relativeFrom="page">
                  <wp:posOffset>5356225</wp:posOffset>
                </wp:positionH>
                <wp:positionV relativeFrom="paragraph">
                  <wp:posOffset>594995</wp:posOffset>
                </wp:positionV>
                <wp:extent cx="606425" cy="393065"/>
                <wp:wrapTopAndBottom/>
                <wp:docPr id="7" name="Shape 7"/>
                <a:graphic xmlns:a="http://schemas.openxmlformats.org/drawingml/2006/main">
                  <a:graphicData uri="http://schemas.microsoft.com/office/word/2010/wordprocessingShape">
                    <wps:wsp>
                      <wps:cNvSpPr txBox="1"/>
                      <wps:spPr>
                        <a:xfrm>
                          <a:ext cx="606425" cy="393065"/>
                        </a:xfrm>
                        <a:prstGeom prst="rect"/>
                        <a:noFill/>
                      </wps:spPr>
                      <wps:txbx>
                        <w:txbxContent>
                          <w:p>
                            <w:pPr>
                              <w:pStyle w:val="Style2"/>
                              <w:keepNext w:val="0"/>
                              <w:keepLines w:val="0"/>
                              <w:widowControl w:val="0"/>
                              <w:shd w:val="clear" w:color="auto" w:fill="auto"/>
                              <w:bidi w:val="0"/>
                              <w:spacing w:before="0" w:after="160" w:line="240" w:lineRule="auto"/>
                              <w:ind w:left="0" w:right="0" w:firstLine="140"/>
                              <w:jc w:val="left"/>
                              <w:rPr>
                                <w:sz w:val="17"/>
                                <w:szCs w:val="17"/>
                              </w:rPr>
                            </w:pPr>
                            <w:r>
                              <w:rPr>
                                <w:spacing w:val="0"/>
                                <w:w w:val="100"/>
                                <w:position w:val="0"/>
                                <w:sz w:val="17"/>
                                <w:szCs w:val="17"/>
                                <w:shd w:val="clear" w:color="auto" w:fill="auto"/>
                                <w:lang w:val="pl-PL" w:eastAsia="pl-PL" w:bidi="pl-PL"/>
                              </w:rPr>
                              <w:t>W jliniec</w:t>
                            </w:r>
                          </w:p>
                          <w:p>
                            <w:pPr>
                              <w:pStyle w:val="Style6"/>
                              <w:keepNext w:val="0"/>
                              <w:keepLines w:val="0"/>
                              <w:widowControl w:val="0"/>
                              <w:shd w:val="clear" w:color="auto" w:fill="auto"/>
                              <w:bidi w:val="0"/>
                              <w:spacing w:before="0" w:after="0" w:line="240" w:lineRule="auto"/>
                              <w:ind w:left="0" w:right="0" w:firstLine="0"/>
                              <w:jc w:val="both"/>
                              <w:rPr>
                                <w:sz w:val="20"/>
                                <w:szCs w:val="20"/>
                              </w:rPr>
                            </w:pPr>
                            <w:r>
                              <w:rPr>
                                <w:color w:val="FB8DA5"/>
                                <w:spacing w:val="0"/>
                                <w:w w:val="100"/>
                                <w:position w:val="0"/>
                                <w:sz w:val="20"/>
                                <w:szCs w:val="20"/>
                                <w:shd w:val="clear" w:color="auto" w:fill="auto"/>
                                <w:lang w:val="pl-PL" w:eastAsia="pl-PL" w:bidi="pl-PL"/>
                              </w:rPr>
                              <w:t>Wieczorek</w:t>
                            </w:r>
                          </w:p>
                        </w:txbxContent>
                      </wps:txbx>
                      <wps:bodyPr lIns="0" tIns="0" rIns="0" bIns="0">
                        <a:noAutoFit/>
                      </wps:bodyPr>
                    </wps:wsp>
                  </a:graphicData>
                </a:graphic>
              </wp:anchor>
            </w:drawing>
          </mc:Choice>
          <mc:Fallback>
            <w:pict>
              <v:shape id="_x0000_s1033" type="#_x0000_t202" style="position:absolute;margin-left:421.75pt;margin-top:46.850000000000001pt;width:47.75pt;height:30.949999999999999pt;z-index:-125829370;mso-wrap-distance-left:0;mso-wrap-distance-top:46.850000000000001pt;mso-wrap-distance-right:0;mso-wrap-distance-bottom:10.300000000000001pt;mso-position-horizontal-relative:page" filled="f" stroked="f">
                <v:textbox inset="0,0,0,0">
                  <w:txbxContent>
                    <w:p>
                      <w:pPr>
                        <w:pStyle w:val="Style2"/>
                        <w:keepNext w:val="0"/>
                        <w:keepLines w:val="0"/>
                        <w:widowControl w:val="0"/>
                        <w:shd w:val="clear" w:color="auto" w:fill="auto"/>
                        <w:bidi w:val="0"/>
                        <w:spacing w:before="0" w:after="160" w:line="240" w:lineRule="auto"/>
                        <w:ind w:left="0" w:right="0" w:firstLine="140"/>
                        <w:jc w:val="left"/>
                        <w:rPr>
                          <w:sz w:val="17"/>
                          <w:szCs w:val="17"/>
                        </w:rPr>
                      </w:pPr>
                      <w:r>
                        <w:rPr>
                          <w:spacing w:val="0"/>
                          <w:w w:val="100"/>
                          <w:position w:val="0"/>
                          <w:sz w:val="17"/>
                          <w:szCs w:val="17"/>
                          <w:shd w:val="clear" w:color="auto" w:fill="auto"/>
                          <w:lang w:val="pl-PL" w:eastAsia="pl-PL" w:bidi="pl-PL"/>
                        </w:rPr>
                        <w:t>W jliniec</w:t>
                      </w:r>
                    </w:p>
                    <w:p>
                      <w:pPr>
                        <w:pStyle w:val="Style6"/>
                        <w:keepNext w:val="0"/>
                        <w:keepLines w:val="0"/>
                        <w:widowControl w:val="0"/>
                        <w:shd w:val="clear" w:color="auto" w:fill="auto"/>
                        <w:bidi w:val="0"/>
                        <w:spacing w:before="0" w:after="0" w:line="240" w:lineRule="auto"/>
                        <w:ind w:left="0" w:right="0" w:firstLine="0"/>
                        <w:jc w:val="both"/>
                        <w:rPr>
                          <w:sz w:val="20"/>
                          <w:szCs w:val="20"/>
                        </w:rPr>
                      </w:pPr>
                      <w:r>
                        <w:rPr>
                          <w:color w:val="FB8DA5"/>
                          <w:spacing w:val="0"/>
                          <w:w w:val="100"/>
                          <w:position w:val="0"/>
                          <w:sz w:val="20"/>
                          <w:szCs w:val="20"/>
                          <w:shd w:val="clear" w:color="auto" w:fill="auto"/>
                          <w:lang w:val="pl-PL" w:eastAsia="pl-PL" w:bidi="pl-PL"/>
                        </w:rPr>
                        <w:t>Wieczorek</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02" w:right="0" w:bottom="402" w:left="0" w:header="0" w:footer="3" w:gutter="0"/>
          <w:cols w:space="720"/>
          <w:noEndnote/>
          <w:rtlGutter w:val="0"/>
          <w:docGrid w:linePitch="360"/>
        </w:sectPr>
      </w:pPr>
    </w:p>
    <w:p>
      <w:pPr>
        <w:pStyle w:val="Style6"/>
        <w:keepNext w:val="0"/>
        <w:keepLines w:val="0"/>
        <w:widowControl w:val="0"/>
        <w:shd w:val="clear" w:color="auto" w:fill="auto"/>
        <w:bidi w:val="0"/>
        <w:spacing w:before="0" w:after="60" w:line="240" w:lineRule="auto"/>
        <w:ind w:left="0" w:right="0" w:firstLine="0"/>
        <w:jc w:val="center"/>
        <w:rPr>
          <w:sz w:val="24"/>
          <w:szCs w:val="24"/>
        </w:rPr>
      </w:pPr>
      <w:r>
        <w:rPr>
          <w:i/>
          <w:iCs/>
          <w:color w:val="000000"/>
          <w:spacing w:val="0"/>
          <w:w w:val="100"/>
          <w:position w:val="0"/>
          <w:sz w:val="24"/>
          <w:szCs w:val="24"/>
          <w:shd w:val="clear" w:color="auto" w:fill="auto"/>
          <w:lang w:val="pl-PL" w:eastAsia="pl-PL" w:bidi="pl-PL"/>
        </w:rPr>
        <w:t>ddldłgoi</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vertAlign w:val="superscript"/>
          <w:lang w:val="pl-PL" w:eastAsia="pl-PL" w:bidi="pl-PL"/>
        </w:rPr>
        <w:t>;</w:t>
      </w:r>
      <w:r>
        <w:rPr>
          <w:color w:val="000000"/>
          <w:spacing w:val="0"/>
          <w:w w:val="100"/>
          <w:position w:val="0"/>
          <w:shd w:val="clear" w:color="auto" w:fill="auto"/>
          <w:lang w:val="pl-PL" w:eastAsia="pl-PL" w:bidi="pl-PL"/>
        </w:rPr>
        <w:t>ADWJOt«r</w:t>
      </w:r>
    </w:p>
    <w:sectPr>
      <w:footnotePr>
        <w:pos w:val="pageBottom"/>
        <w:numFmt w:val="decimal"/>
        <w:numRestart w:val="continuous"/>
      </w:footnotePr>
      <w:pgSz w:w="11900" w:h="16840"/>
      <w:pgMar w:top="402" w:right="1305" w:bottom="402" w:left="132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Arial" w:eastAsia="Arial" w:hAnsi="Arial" w:cs="Arial"/>
      <w:b w:val="0"/>
      <w:bCs w:val="0"/>
      <w:i w:val="0"/>
      <w:iCs w:val="0"/>
      <w:smallCaps w:val="0"/>
      <w:strike w:val="0"/>
      <w:color w:val="FB8DA5"/>
      <w:sz w:val="18"/>
      <w:szCs w:val="18"/>
      <w:u w:val="none"/>
    </w:rPr>
  </w:style>
  <w:style w:type="character" w:customStyle="1" w:styleId="CharStyle7">
    <w:name w:val="Tekst treści_"/>
    <w:basedOn w:val="DefaultParagraphFont"/>
    <w:link w:val="Style6"/>
    <w:rPr>
      <w:rFonts w:ascii="Times New Roman" w:eastAsia="Times New Roman" w:hAnsi="Times New Roman" w:cs="Times New Roman"/>
      <w:b w:val="0"/>
      <w:bCs w:val="0"/>
      <w:i w:val="0"/>
      <w:iCs w:val="0"/>
      <w:smallCaps w:val="0"/>
      <w:strike w:val="0"/>
      <w:sz w:val="22"/>
      <w:szCs w:val="22"/>
      <w:u w:val="none"/>
    </w:rPr>
  </w:style>
  <w:style w:type="character" w:customStyle="1" w:styleId="CharStyle11">
    <w:name w:val="Nagłówek #1_"/>
    <w:basedOn w:val="DefaultParagraphFont"/>
    <w:link w:val="Style10"/>
    <w:rPr>
      <w:rFonts w:ascii="Times New Roman" w:eastAsia="Times New Roman" w:hAnsi="Times New Roman" w:cs="Times New Roman"/>
      <w:b/>
      <w:bCs/>
      <w:i w:val="0"/>
      <w:iCs w:val="0"/>
      <w:smallCaps w:val="0"/>
      <w:strike w:val="0"/>
      <w:u w:val="none"/>
    </w:rPr>
  </w:style>
  <w:style w:type="paragraph" w:customStyle="1" w:styleId="Style2">
    <w:name w:val="Tekst treści (2)"/>
    <w:basedOn w:val="Normal"/>
    <w:link w:val="CharStyle3"/>
    <w:pPr>
      <w:widowControl w:val="0"/>
      <w:shd w:val="clear" w:color="auto" w:fill="auto"/>
      <w:spacing w:line="350" w:lineRule="auto"/>
    </w:pPr>
    <w:rPr>
      <w:rFonts w:ascii="Arial" w:eastAsia="Arial" w:hAnsi="Arial" w:cs="Arial"/>
      <w:b w:val="0"/>
      <w:bCs w:val="0"/>
      <w:i w:val="0"/>
      <w:iCs w:val="0"/>
      <w:smallCaps w:val="0"/>
      <w:strike w:val="0"/>
      <w:color w:val="FB8DA5"/>
      <w:sz w:val="18"/>
      <w:szCs w:val="18"/>
      <w:u w:val="none"/>
    </w:rPr>
  </w:style>
  <w:style w:type="paragraph" w:customStyle="1" w:styleId="Style6">
    <w:name w:val="Tekst treści"/>
    <w:basedOn w:val="Normal"/>
    <w:link w:val="CharStyle7"/>
    <w:pPr>
      <w:widowControl w:val="0"/>
      <w:shd w:val="clear" w:color="auto" w:fill="auto"/>
      <w:spacing w:line="262"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0">
    <w:name w:val="Nagłówek #1"/>
    <w:basedOn w:val="Normal"/>
    <w:link w:val="CharStyle11"/>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