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929/LIII/22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26 października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 sprawie zwolnienia samorządowego zakładu budżetowego  Zakład Usług Komunalnych w Węglińcu z obowiązku wpłaty nadwyżki środków obrotowych do budżetu Gminy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ab/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15 ustawy z dnia 8 marca 1990 r. o samorządzie gminnym (Dz. U. z 2022 r. poz. 559 z poźn.zm.) oraz art. 15 ust. 7 ustawy z dnia 27 sierpnia 2009 r. o finansach publicznych (Dz. U. z 2022 r. poz. 1634 z późn.zm.) Rada Miejska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Zwalnia się Zakład Usług Komunalnych w Węglińcu z wpłaty do budżetu Gminy Węgliniec nadwyżki środków obrotowych, ustalonych na koniec okresu sprawozdawczego za 2021 rok, w wysokości 52.281,51zł.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Pozostawioną nadwyżkę środków obrotowych samorządowy zakład budżetowy przeznaczy na realizację zadań statutowych.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keepLines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Ustawa z dnia 27 sierpnia 2009 r. o finansach publicznych przyznała radom miejskim kompetencje do podjęcia uchwały, która zwolni samorządowy zakład budżetowy z obowiązku wpłaty nadwyżki środków obrotowych do budżetu Gminy. Zasadnicze znaczenie ma fakt, iż nadwyżka środków obrotowych jest pojęciem z kategorii finansowych i nie jest tożsama z posiadaniem przez zakład środków pieniężnych. Wpłata powyższych środków do budżetu gminy pozbawi Zakład na początek roku płynności finansowej. Wobec powyższego podjęcie niniejszej uchwały jest uzasadnione.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FC1BB3F1-BB12-4A21-9B5D-654DE7171AEC.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929/LIII/22 z dnia 26 października 2022 r.</dc:title>
  <dc:subject>w  sprawie zwolnienia samorządowego zakładu budżetowego  Zakład Usług Komunalnych w^Węglińcu z^obowiązku wpłaty nadwyżki środków obrotowych do budżetu Gminy Węgliniec</dc:subject>
  <dc:creator>Alicja</dc:creator>
  <cp:lastModifiedBy>Alicja</cp:lastModifiedBy>
  <cp:revision>1</cp:revision>
  <dcterms:created xsi:type="dcterms:W3CDTF">2022-11-02T09:59:40Z</dcterms:created>
  <dcterms:modified xsi:type="dcterms:W3CDTF">2022-11-02T09:59:40Z</dcterms:modified>
  <cp:category>Akt prawny</cp:category>
</cp:coreProperties>
</file>