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96598" w:rsidRDefault="00000000" w:rsidP="002C78E6">
      <w:pPr>
        <w:pStyle w:val="Teksttreci30"/>
        <w:tabs>
          <w:tab w:val="left" w:pos="2957"/>
        </w:tabs>
      </w:pPr>
      <w:r>
        <w:tab/>
      </w:r>
    </w:p>
    <w:p w:rsidR="002C78E6" w:rsidRDefault="002C78E6">
      <w:pPr>
        <w:pStyle w:val="Teksttreci0"/>
        <w:tabs>
          <w:tab w:val="left" w:pos="2237"/>
          <w:tab w:val="left" w:leader="dot" w:pos="2765"/>
        </w:tabs>
        <w:spacing w:after="40" w:line="120" w:lineRule="auto"/>
        <w:jc w:val="center"/>
        <w:rPr>
          <w:b/>
          <w:bCs/>
        </w:rPr>
      </w:pPr>
    </w:p>
    <w:p w:rsidR="002C78E6" w:rsidRDefault="002C78E6">
      <w:pPr>
        <w:pStyle w:val="Teksttreci0"/>
        <w:tabs>
          <w:tab w:val="left" w:pos="2237"/>
          <w:tab w:val="left" w:leader="dot" w:pos="2765"/>
        </w:tabs>
        <w:spacing w:after="40" w:line="120" w:lineRule="auto"/>
        <w:jc w:val="center"/>
        <w:rPr>
          <w:b/>
          <w:bCs/>
        </w:rPr>
      </w:pPr>
    </w:p>
    <w:p w:rsidR="002C78E6" w:rsidRDefault="002C78E6">
      <w:pPr>
        <w:pStyle w:val="Teksttreci0"/>
        <w:tabs>
          <w:tab w:val="left" w:pos="2237"/>
          <w:tab w:val="left" w:leader="dot" w:pos="2765"/>
        </w:tabs>
        <w:spacing w:after="40" w:line="120" w:lineRule="auto"/>
        <w:jc w:val="center"/>
        <w:rPr>
          <w:b/>
          <w:bCs/>
        </w:rPr>
      </w:pPr>
    </w:p>
    <w:p w:rsidR="002C78E6" w:rsidRDefault="002C78E6">
      <w:pPr>
        <w:pStyle w:val="Teksttreci0"/>
        <w:tabs>
          <w:tab w:val="left" w:pos="2237"/>
          <w:tab w:val="left" w:leader="dot" w:pos="2765"/>
        </w:tabs>
        <w:spacing w:after="40" w:line="120" w:lineRule="auto"/>
        <w:jc w:val="center"/>
        <w:rPr>
          <w:b/>
          <w:bCs/>
        </w:rPr>
      </w:pPr>
    </w:p>
    <w:p w:rsidR="002C78E6" w:rsidRPr="002C78E6" w:rsidRDefault="002C78E6" w:rsidP="002C78E6">
      <w:pPr>
        <w:pStyle w:val="Teksttreci0"/>
        <w:spacing w:after="460" w:line="252" w:lineRule="auto"/>
        <w:jc w:val="center"/>
        <w:rPr>
          <w:b/>
          <w:bCs/>
        </w:rPr>
      </w:pPr>
      <w:r w:rsidRPr="002C78E6">
        <w:rPr>
          <w:b/>
          <w:bCs/>
        </w:rPr>
        <w:t>Uchwala nr 1/91/2022</w:t>
      </w:r>
    </w:p>
    <w:p w:rsidR="00C96598" w:rsidRPr="002C78E6" w:rsidRDefault="002C78E6" w:rsidP="002C78E6">
      <w:pPr>
        <w:pStyle w:val="Teksttreci0"/>
        <w:spacing w:after="460" w:line="252" w:lineRule="auto"/>
        <w:jc w:val="center"/>
        <w:rPr>
          <w:b/>
          <w:bCs/>
        </w:rPr>
      </w:pPr>
      <w:r w:rsidRPr="002C78E6">
        <w:rPr>
          <w:b/>
          <w:bCs/>
        </w:rPr>
        <w:t>Składu Orzekającego Regionalnej Izby Obrachunkowej we Wrocławiu “</w:t>
      </w:r>
      <w:r>
        <w:rPr>
          <w:b/>
          <w:bCs/>
        </w:rPr>
        <w:br/>
      </w:r>
      <w:r w:rsidRPr="002C78E6">
        <w:rPr>
          <w:b/>
          <w:bCs/>
        </w:rPr>
        <w:t>z dnia 7 grudnia 2022 r.</w:t>
      </w:r>
      <w:r>
        <w:rPr>
          <w:b/>
          <w:bCs/>
        </w:rPr>
        <w:t xml:space="preserve"> </w:t>
      </w:r>
      <w:r w:rsidR="00000000">
        <w:rPr>
          <w:b/>
          <w:bCs/>
        </w:rPr>
        <w:t>w sprawie opinii o projekcie uchwały w sprawie wieloletniej prognozy finansowej Gminy i Miasta</w:t>
      </w:r>
      <w:r w:rsidR="00000000">
        <w:rPr>
          <w:b/>
          <w:bCs/>
        </w:rPr>
        <w:br/>
        <w:t>Węgliniec, przedstawionym wraz z projektem uchwały budżetowej Gminy i Miasta Węgliniec na 2023</w:t>
      </w:r>
      <w:r w:rsidR="00000000">
        <w:rPr>
          <w:b/>
          <w:bCs/>
        </w:rPr>
        <w:br/>
        <w:t>rok</w:t>
      </w:r>
    </w:p>
    <w:p w:rsidR="00C96598" w:rsidRDefault="00000000">
      <w:pPr>
        <w:pStyle w:val="Teksttreci0"/>
        <w:spacing w:after="100" w:line="257" w:lineRule="auto"/>
        <w:ind w:firstLine="480"/>
        <w:jc w:val="both"/>
      </w:pPr>
      <w:r>
        <w:t>Na podstawie art. 13 pkt 12 w związku z art. 19 ust. 2 ustawy z dnia 7 października 1992 r. o regionalnych izbach obrachunkowych (Dz.U. z 2022 r. poz. 1668) oraz art. 230 ust. 2 pkt 1 i ust. 3 ustawy z dnia 27 sierpnia 2009 r. o finansach publicznych (Dz.U. z 2022 r. poz. 1634, z późn. zm.), Skład Orzekający Regionalnej Izby Obrachunkowej we Wrocławiu, w osobach:</w:t>
      </w:r>
    </w:p>
    <w:p w:rsidR="00C96598" w:rsidRDefault="00000000">
      <w:pPr>
        <w:pStyle w:val="Teksttreci0"/>
        <w:numPr>
          <w:ilvl w:val="0"/>
          <w:numId w:val="1"/>
        </w:numPr>
        <w:tabs>
          <w:tab w:val="left" w:pos="379"/>
        </w:tabs>
        <w:spacing w:after="0" w:line="257" w:lineRule="auto"/>
      </w:pPr>
      <w:r>
        <w:t>Magdalena Macias — przewodnicząca,</w:t>
      </w:r>
    </w:p>
    <w:p w:rsidR="00C96598" w:rsidRDefault="00000000">
      <w:pPr>
        <w:pStyle w:val="Teksttreci0"/>
        <w:numPr>
          <w:ilvl w:val="0"/>
          <w:numId w:val="1"/>
        </w:numPr>
        <w:tabs>
          <w:tab w:val="left" w:pos="379"/>
        </w:tabs>
        <w:spacing w:after="0" w:line="257" w:lineRule="auto"/>
      </w:pPr>
      <w:r>
        <w:t>Joanna Stylska — członek,</w:t>
      </w:r>
    </w:p>
    <w:p w:rsidR="00C96598" w:rsidRDefault="00000000">
      <w:pPr>
        <w:pStyle w:val="Teksttreci0"/>
        <w:numPr>
          <w:ilvl w:val="0"/>
          <w:numId w:val="1"/>
        </w:numPr>
        <w:tabs>
          <w:tab w:val="left" w:pos="379"/>
        </w:tabs>
        <w:spacing w:after="100" w:line="257" w:lineRule="auto"/>
      </w:pPr>
      <w:r>
        <w:t>Arkadiusz Babczuk — członek,</w:t>
      </w:r>
    </w:p>
    <w:p w:rsidR="00C96598" w:rsidRDefault="00000000">
      <w:pPr>
        <w:pStyle w:val="Nagwek20"/>
        <w:keepNext/>
        <w:keepLines/>
      </w:pPr>
      <w:bookmarkStart w:id="0" w:name="bookmark2"/>
      <w:r>
        <w:t>wydaje opinię pozytywną</w:t>
      </w:r>
      <w:bookmarkEnd w:id="0"/>
    </w:p>
    <w:p w:rsidR="00C96598" w:rsidRDefault="00000000">
      <w:pPr>
        <w:pStyle w:val="Teksttreci0"/>
        <w:spacing w:after="340" w:line="257" w:lineRule="auto"/>
        <w:jc w:val="both"/>
      </w:pPr>
      <w:r>
        <w:t>o projekcie uchwały w sprawie wieloletniej prognozy finansowej Gminy i Miasta Węgliniec, przedstawionym wraz z projektem uchwały budżetowej Gminy i Miasta Węgliniec na 2023 rok.</w:t>
      </w:r>
    </w:p>
    <w:p w:rsidR="00C96598" w:rsidRDefault="00000000">
      <w:pPr>
        <w:pStyle w:val="Nagwek20"/>
        <w:keepNext/>
        <w:keepLines/>
      </w:pPr>
      <w:bookmarkStart w:id="1" w:name="bookmark4"/>
      <w:r>
        <w:t>Uzasadnienie</w:t>
      </w:r>
      <w:bookmarkEnd w:id="1"/>
    </w:p>
    <w:p w:rsidR="00C96598" w:rsidRDefault="00000000">
      <w:pPr>
        <w:pStyle w:val="Teksttreci0"/>
        <w:spacing w:after="220"/>
        <w:ind w:firstLine="420"/>
        <w:jc w:val="both"/>
      </w:pPr>
      <w:r>
        <w:t>Na mocy art. 230 ust. 2 i art. 238 ust. 1 ustawy z dnia 27 sierpnia 2009 r. o finansach publicznych (Dz.U. z 2022 r. poz. 1634, z późn. zm.), zwanej dalej „ufp.”, zarząd jednostki samorządu terytorialnego (wójt, burmistrz, prezydent miasta) jest zobowiązany do przedłożenia radzie oraz regionalnej izbie obrachunkowej celem zaopiniowania, projektu uchwały w sprawie wieloletniej prognozy finansowej lub jej zmiany wraz z projektem uchwały budżetowej do 15 listopada roku poprzedzającego rok budżetowy. Zgodnie z art. 230 ust. 3 u.f.p. regionalna izba obrachunkowa wydaje opinię o projekcie uchwały w sprawie wieloletniej prognozy finansowej lub jej zmiany, przedstawionym wraz z projektem uchwały budżetowej, ze szczególnym uwzględnieniem zapewnienia przestrzegania przepisów ustawy dotyczących uchwalania i wykonywania budżetów w następnych latach, na które zaciągnięto i planuje się zaciągnąć zobowiązania.</w:t>
      </w:r>
    </w:p>
    <w:p w:rsidR="00C96598" w:rsidRDefault="00000000">
      <w:pPr>
        <w:pStyle w:val="Teksttreci0"/>
        <w:spacing w:after="100"/>
        <w:ind w:firstLine="420"/>
        <w:jc w:val="both"/>
      </w:pPr>
      <w:r>
        <w:t>Burmistrz Gminy i Miasta Węgliniec zarządzeniem nr 114/2022 z dnia 14 listopada 2022 r. w sprawie projektu budżetu Gminy i Miasta Węgliniec na 2023 r. oraz projektu w sprawie Wieloletniej Prognozy Finansowej Gminy Węgliniec przedstawił Regionalnej Izbie Obrachunkowej projekt uchwały w sprawie przyjęcia wieloletniej prognozy finansowej Gminy i Miasta Węgliniec na lata 2023-2040. Zarządzenie w formie dokumentu elektronicznego wpłynęło do tutejszej Izby 15 listopada 2022 roku.</w:t>
      </w:r>
    </w:p>
    <w:p w:rsidR="00C96598" w:rsidRDefault="00000000">
      <w:pPr>
        <w:pStyle w:val="Teksttreci0"/>
        <w:spacing w:after="180" w:line="262" w:lineRule="auto"/>
        <w:jc w:val="both"/>
      </w:pPr>
      <w:r>
        <w:t>Skład Orzekający w wyniku oceny przedłożonego projektu uchwały w sprawie wieloletniej prognozy finansowej stwierdził, co następuje.</w:t>
      </w:r>
    </w:p>
    <w:p w:rsidR="00C96598" w:rsidRDefault="00000000">
      <w:pPr>
        <w:pStyle w:val="Teksttreci0"/>
        <w:numPr>
          <w:ilvl w:val="0"/>
          <w:numId w:val="2"/>
        </w:numPr>
        <w:tabs>
          <w:tab w:val="left" w:pos="274"/>
        </w:tabs>
        <w:spacing w:after="180" w:line="262" w:lineRule="auto"/>
        <w:jc w:val="both"/>
      </w:pPr>
      <w:r>
        <w:t>Wieloletnią prognozę finansową wraz z prognozą kwoty długu sporządzono na lata 2023-2040, co spełnia wymogi art. 227 ufp. W każdym roku objętym prognozą określono wielkości, o których mowa w art. 226 ust. 1 ufp.</w:t>
      </w:r>
    </w:p>
    <w:p w:rsidR="00C96598" w:rsidRDefault="00000000">
      <w:pPr>
        <w:pStyle w:val="Teksttreci0"/>
        <w:numPr>
          <w:ilvl w:val="0"/>
          <w:numId w:val="2"/>
        </w:numPr>
        <w:tabs>
          <w:tab w:val="left" w:pos="279"/>
        </w:tabs>
        <w:spacing w:after="180" w:line="257" w:lineRule="auto"/>
        <w:jc w:val="both"/>
      </w:pPr>
      <w:r>
        <w:t>Ujęte w prognozie na 2023 rok kwoty dochodów, wydatków, przychodów i rozchodów budżetu oraz długu są zgodne z kwotami ujętymi w projekcie uchwały budżetowej na rok 2023, co spełnia wymogi art. 229 ufp.</w:t>
      </w:r>
    </w:p>
    <w:p w:rsidR="00C96598" w:rsidRDefault="00000000">
      <w:pPr>
        <w:pStyle w:val="Teksttreci0"/>
        <w:numPr>
          <w:ilvl w:val="0"/>
          <w:numId w:val="2"/>
        </w:numPr>
        <w:tabs>
          <w:tab w:val="left" w:pos="279"/>
        </w:tabs>
        <w:spacing w:after="180" w:line="262" w:lineRule="auto"/>
        <w:jc w:val="both"/>
      </w:pPr>
      <w:r>
        <w:t>W latach objętych prognozą zachowano wymóg określony w art. 242 ufp. w zakresie wielkości dochodów bieżących i wydatków bieżących budżetu. Źródłem finansowania wydatków bieżących są dochody bieżące.</w:t>
      </w:r>
    </w:p>
    <w:p w:rsidR="00C96598" w:rsidRDefault="00000000">
      <w:pPr>
        <w:pStyle w:val="Teksttreci0"/>
        <w:numPr>
          <w:ilvl w:val="0"/>
          <w:numId w:val="2"/>
        </w:numPr>
        <w:tabs>
          <w:tab w:val="left" w:pos="284"/>
        </w:tabs>
        <w:spacing w:after="180" w:line="257" w:lineRule="auto"/>
        <w:jc w:val="both"/>
      </w:pPr>
      <w:r>
        <w:t>Planowana w 2023 roku kwota przychodów wynosi 5.205.920,97 zł, w tym z tytułu zaciągniętych kredytów i pożyczek - 2.400.000,00 zł. Planowana w 2023 roku kwota rozchodów z tytułu spłaty rat kredytów i pożyczek wynosi 1.291.400,00 zł. Prognozowana kwota długu na koniec 2023 roku wynosi 13.092.029,00 zł, której spłatę zaplanowano do 2040 roku. W latach 2024-2040 nie planuje się przychodów z tytułu zwrotnych źródeł finansowania.</w:t>
      </w:r>
    </w:p>
    <w:p w:rsidR="002C78E6" w:rsidRDefault="00000000">
      <w:pPr>
        <w:pStyle w:val="Teksttreci0"/>
        <w:spacing w:after="200" w:line="252" w:lineRule="auto"/>
        <w:jc w:val="both"/>
      </w:pPr>
      <w:r>
        <w:t xml:space="preserve">Jak wynika z przedłożonego projektu wieloletniej prognozy finansowej obliczone na podstawie prognozowanych wielkości w latach 2023-2040 relacje spłat zobowiązań finansowych i kosztów ich obsługi określone w art. 243 ufp, przy zastosowaniu w latach 2023-2025 średnich arytmetycznych z ostatnich siedmiu lat, nie przekraczają </w:t>
      </w:r>
      <w:r>
        <w:lastRenderedPageBreak/>
        <w:t xml:space="preserve">dopuszczalnych poziomów obciążenia budżetu ich spłatą. Skład Orzekający zwraca jednak uwagę, że przestrzeganie </w:t>
      </w:r>
    </w:p>
    <w:p w:rsidR="002C78E6" w:rsidRDefault="002C78E6">
      <w:pPr>
        <w:pStyle w:val="Teksttreci0"/>
        <w:spacing w:after="200" w:line="252" w:lineRule="auto"/>
        <w:jc w:val="both"/>
      </w:pPr>
    </w:p>
    <w:p w:rsidR="00C96598" w:rsidRDefault="00000000">
      <w:pPr>
        <w:pStyle w:val="Teksttreci0"/>
        <w:spacing w:after="200" w:line="252" w:lineRule="auto"/>
        <w:jc w:val="both"/>
      </w:pPr>
      <w:r>
        <w:t>limitów określonych przepisami o finansach publicznych nie chroni przed utratą zdolności do finansowania właściwej realizacji zadań własnych gminy, co organy gminy winny mieć na uwadze planując zaciąganie zobowiązań długoterminowych. Należy przy tym uwzględnić nie tylko ograniczenia prawne zaciągania długu, ale także brać pod uwagę ograniczenia ekonomiczne.</w:t>
      </w:r>
    </w:p>
    <w:p w:rsidR="00C96598" w:rsidRDefault="00000000">
      <w:pPr>
        <w:pStyle w:val="Teksttreci0"/>
        <w:numPr>
          <w:ilvl w:val="0"/>
          <w:numId w:val="2"/>
        </w:numPr>
        <w:tabs>
          <w:tab w:val="left" w:pos="274"/>
        </w:tabs>
        <w:spacing w:after="200" w:line="252" w:lineRule="auto"/>
      </w:pPr>
      <w:r>
        <w:t>W projekcie uchwały zamieszczono upoważnienia, o których mowa w art. 228 ust. 1 i ust. 2 ufp.</w:t>
      </w:r>
    </w:p>
    <w:p w:rsidR="00C96598" w:rsidRDefault="00000000">
      <w:pPr>
        <w:pStyle w:val="Teksttreci0"/>
        <w:numPr>
          <w:ilvl w:val="0"/>
          <w:numId w:val="2"/>
        </w:numPr>
        <w:tabs>
          <w:tab w:val="left" w:pos="274"/>
        </w:tabs>
        <w:spacing w:after="320" w:line="240" w:lineRule="auto"/>
        <w:jc w:val="both"/>
      </w:pPr>
      <w:r>
        <w:t>W załączniku nr 2 do projektu uchwały określono odrębnie dla każdego przedsięwzięcia dane i informacje, o których mowa w art. 226 ust. 3 ufp.</w:t>
      </w:r>
    </w:p>
    <w:p w:rsidR="00C96598" w:rsidRDefault="00000000">
      <w:pPr>
        <w:pStyle w:val="Teksttreci0"/>
        <w:numPr>
          <w:ilvl w:val="0"/>
          <w:numId w:val="2"/>
        </w:numPr>
        <w:tabs>
          <w:tab w:val="left" w:pos="274"/>
        </w:tabs>
        <w:spacing w:after="200" w:line="257" w:lineRule="auto"/>
        <w:jc w:val="both"/>
      </w:pPr>
      <w:r>
        <w:t>W załączniku nr 3 do projektu uchwały przedstawiono objaśnienia wielkości przyjętych w wieloletniej prognozie finansowej, stosownie do przepisów art. 226 ust. 2a ufp.</w:t>
      </w:r>
    </w:p>
    <w:p w:rsidR="00C96598" w:rsidRDefault="00000000">
      <w:pPr>
        <w:pStyle w:val="Teksttreci0"/>
        <w:spacing w:after="120" w:line="252" w:lineRule="auto"/>
        <w:ind w:firstLine="400"/>
        <w:jc w:val="both"/>
      </w:pPr>
      <w:r>
        <w:t>Niniejsza opinia, zgodnie z art. 230 ust. 3 w związku z art. 246 ust. 2 ufp., podlega publikacji przez jednostkę samorządu terytorialnego na zasadach określonych w ustawie z dnia 6 września 2001 r. o dostępie do informacji publicznej (Dz.U. z 2022 r. poz. 902) w terminie 7 dni od dnia jej otrzymania.</w:t>
      </w:r>
    </w:p>
    <w:p w:rsidR="00C96598" w:rsidRDefault="00000000">
      <w:pPr>
        <w:pStyle w:val="Teksttreci0"/>
        <w:spacing w:after="320" w:line="257" w:lineRule="auto"/>
        <w:ind w:firstLine="400"/>
        <w:jc w:val="both"/>
      </w:pPr>
      <w:r>
        <w:t>Od niniejszej uchwały przysługuje zgodnie z art. 20 ust. 1 ustawy o regionalnych izbach obrachunkowych odwołanie do Kolegium Regionalnej Izby Obrachunkowej we Wrocławiu w terminie 14 dni od dnia doręczenia uchwały.</w:t>
      </w:r>
    </w:p>
    <w:p w:rsidR="00C96598" w:rsidRDefault="00000000">
      <w:pPr>
        <w:pStyle w:val="Teksttreci0"/>
        <w:spacing w:after="0" w:line="252" w:lineRule="auto"/>
        <w:jc w:val="center"/>
      </w:pPr>
      <w:r>
        <w:t>Przewodnicząca</w:t>
      </w:r>
    </w:p>
    <w:p w:rsidR="00C96598" w:rsidRDefault="00000000">
      <w:pPr>
        <w:pStyle w:val="Teksttreci0"/>
        <w:spacing w:after="260" w:line="252" w:lineRule="auto"/>
        <w:jc w:val="center"/>
      </w:pPr>
      <w:r>
        <w:t>Składu Orzekającego</w:t>
      </w:r>
    </w:p>
    <w:p w:rsidR="00C96598" w:rsidRDefault="00000000">
      <w:pPr>
        <w:pStyle w:val="Teksttreci0"/>
        <w:spacing w:after="200" w:line="252" w:lineRule="auto"/>
        <w:jc w:val="center"/>
      </w:pPr>
      <w:r>
        <w:t>Magdalena Macias</w:t>
      </w:r>
    </w:p>
    <w:sectPr w:rsidR="00C96598">
      <w:footerReference w:type="default" r:id="rId7"/>
      <w:pgSz w:w="11900" w:h="16840"/>
      <w:pgMar w:top="79" w:right="1085" w:bottom="1517" w:left="1305" w:header="0"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304D2" w:rsidRDefault="00A304D2">
      <w:r>
        <w:separator/>
      </w:r>
    </w:p>
  </w:endnote>
  <w:endnote w:type="continuationSeparator" w:id="0">
    <w:p w:rsidR="00A304D2" w:rsidRDefault="00A30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96598" w:rsidRDefault="00000000">
    <w:pPr>
      <w:spacing w:line="1" w:lineRule="exact"/>
    </w:pPr>
    <w:r>
      <w:rPr>
        <w:noProof/>
      </w:rPr>
      <mc:AlternateContent>
        <mc:Choice Requires="wps">
          <w:drawing>
            <wp:anchor distT="0" distB="0" distL="0" distR="0" simplePos="0" relativeHeight="62914690" behindDoc="1" locked="0" layoutInCell="1" allowOverlap="1">
              <wp:simplePos x="0" y="0"/>
              <wp:positionH relativeFrom="page">
                <wp:posOffset>838200</wp:posOffset>
              </wp:positionH>
              <wp:positionV relativeFrom="page">
                <wp:posOffset>10224770</wp:posOffset>
              </wp:positionV>
              <wp:extent cx="2279650" cy="85090"/>
              <wp:effectExtent l="0" t="0" r="0" b="0"/>
              <wp:wrapNone/>
              <wp:docPr id="1" name="Shape 1"/>
              <wp:cNvGraphicFramePr/>
              <a:graphic xmlns:a="http://schemas.openxmlformats.org/drawingml/2006/main">
                <a:graphicData uri="http://schemas.microsoft.com/office/word/2010/wordprocessingShape">
                  <wps:wsp>
                    <wps:cNvSpPr txBox="1"/>
                    <wps:spPr>
                      <a:xfrm>
                        <a:off x="0" y="0"/>
                        <a:ext cx="2279650" cy="85090"/>
                      </a:xfrm>
                      <a:prstGeom prst="rect">
                        <a:avLst/>
                      </a:prstGeom>
                      <a:noFill/>
                    </wps:spPr>
                    <wps:txbx>
                      <w:txbxContent>
                        <w:p w:rsidR="00C96598" w:rsidRDefault="00000000">
                          <w:pPr>
                            <w:pStyle w:val="Nagweklubstopka20"/>
                            <w:rPr>
                              <w:sz w:val="17"/>
                              <w:szCs w:val="17"/>
                            </w:rPr>
                          </w:pPr>
                          <w:r>
                            <w:rPr>
                              <w:sz w:val="17"/>
                              <w:szCs w:val="17"/>
                            </w:rPr>
                            <w:t>Id: 10B53C1F-7B67-4052-AB AB-B0D24D8568EB</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margin-left:66pt;margin-top:805.1pt;width:179.5pt;height:6.7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" filled="f" stroked="f">
              <v:textbox style="mso-fit-shape-to-text:t" inset="0,0,0,0">
                <w:txbxContent>
                  <w:p w:rsidR="00C96598" w:rsidRDefault="00000000">
                    <w:pPr>
                      <w:pStyle w:val="Nagweklubstopka20"/>
                      <w:rPr>
                        <w:sz w:val="17"/>
                        <w:szCs w:val="17"/>
                      </w:rPr>
                    </w:pPr>
                    <w:r>
                      <w:rPr>
                        <w:sz w:val="17"/>
                        <w:szCs w:val="17"/>
                      </w:rPr>
                      <w:t>Id: 10B53C1F-7B67-4052-AB AB-B0D24D8568EB</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304D2" w:rsidRDefault="00A304D2"/>
  </w:footnote>
  <w:footnote w:type="continuationSeparator" w:id="0">
    <w:p w:rsidR="00A304D2" w:rsidRDefault="00A304D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47183A"/>
    <w:multiLevelType w:val="multilevel"/>
    <w:tmpl w:val="3C945F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83E649B"/>
    <w:multiLevelType w:val="multilevel"/>
    <w:tmpl w:val="D7E63F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816995079">
    <w:abstractNumId w:val="1"/>
  </w:num>
  <w:num w:numId="2" w16cid:durableId="695886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598"/>
    <w:rsid w:val="002C78E6"/>
    <w:rsid w:val="00A304D2"/>
    <w:rsid w:val="00C96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627E2"/>
  <w15:docId w15:val="{874DB0BB-B1B1-4BCC-910D-5F7912F31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2">
    <w:name w:val="Tekst treści (2)_"/>
    <w:basedOn w:val="Domylnaczcionkaakapitu"/>
    <w:link w:val="Teksttreci20"/>
    <w:rPr>
      <w:rFonts w:ascii="Times New Roman" w:eastAsia="Times New Roman" w:hAnsi="Times New Roman" w:cs="Times New Roman"/>
      <w:b/>
      <w:bCs/>
      <w:i w:val="0"/>
      <w:iCs w:val="0"/>
      <w:smallCaps w:val="0"/>
      <w:strike w:val="0"/>
      <w:color w:val="EB798E"/>
      <w:sz w:val="11"/>
      <w:szCs w:val="11"/>
      <w:u w:val="none"/>
    </w:rPr>
  </w:style>
  <w:style w:type="character" w:customStyle="1" w:styleId="Nagweklubstopka2">
    <w:name w:val="Nagłówek lub stopka (2)_"/>
    <w:basedOn w:val="Domylnaczcionkaakapitu"/>
    <w:link w:val="Nagweklubstopka20"/>
    <w:rPr>
      <w:rFonts w:ascii="Times New Roman" w:eastAsia="Times New Roman" w:hAnsi="Times New Roman" w:cs="Times New Roman"/>
      <w:b w:val="0"/>
      <w:bCs w:val="0"/>
      <w:i w:val="0"/>
      <w:iCs w:val="0"/>
      <w:smallCaps w:val="0"/>
      <w:strike w:val="0"/>
      <w:sz w:val="20"/>
      <w:szCs w:val="20"/>
      <w:u w:val="none"/>
    </w:rPr>
  </w:style>
  <w:style w:type="character" w:customStyle="1" w:styleId="Teksttreci3">
    <w:name w:val="Tekst treści (3)_"/>
    <w:basedOn w:val="Domylnaczcionkaakapitu"/>
    <w:link w:val="Teksttreci30"/>
    <w:rPr>
      <w:rFonts w:ascii="Arial" w:eastAsia="Arial" w:hAnsi="Arial" w:cs="Arial"/>
      <w:b w:val="0"/>
      <w:bCs w:val="0"/>
      <w:i w:val="0"/>
      <w:iCs w:val="0"/>
      <w:smallCaps w:val="0"/>
      <w:strike w:val="0"/>
      <w:color w:val="EB798E"/>
      <w:sz w:val="19"/>
      <w:szCs w:val="19"/>
      <w:u w:val="none"/>
    </w:rPr>
  </w:style>
  <w:style w:type="character" w:customStyle="1" w:styleId="Teksttreci4">
    <w:name w:val="Tekst treści (4)_"/>
    <w:basedOn w:val="Domylnaczcionkaakapitu"/>
    <w:link w:val="Teksttreci40"/>
    <w:rPr>
      <w:rFonts w:ascii="Arial" w:eastAsia="Arial" w:hAnsi="Arial" w:cs="Arial"/>
      <w:b w:val="0"/>
      <w:bCs w:val="0"/>
      <w:i w:val="0"/>
      <w:iCs w:val="0"/>
      <w:smallCaps w:val="0"/>
      <w:strike w:val="0"/>
      <w:sz w:val="11"/>
      <w:szCs w:val="11"/>
      <w:u w:val="none"/>
    </w:rPr>
  </w:style>
  <w:style w:type="character" w:customStyle="1" w:styleId="Nagwek1">
    <w:name w:val="Nagłówek #1_"/>
    <w:basedOn w:val="Domylnaczcionkaakapitu"/>
    <w:link w:val="Nagwek10"/>
    <w:rPr>
      <w:rFonts w:ascii="Arial" w:eastAsia="Arial" w:hAnsi="Arial" w:cs="Arial"/>
      <w:b w:val="0"/>
      <w:bCs w:val="0"/>
      <w:i w:val="0"/>
      <w:iCs w:val="0"/>
      <w:smallCaps w:val="0"/>
      <w:strike w:val="0"/>
      <w:color w:val="EB798E"/>
      <w:sz w:val="22"/>
      <w:szCs w:val="22"/>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0"/>
      <w:szCs w:val="20"/>
      <w:u w:val="none"/>
    </w:rPr>
  </w:style>
  <w:style w:type="character" w:customStyle="1" w:styleId="Nagwek2">
    <w:name w:val="Nagłówek #2_"/>
    <w:basedOn w:val="Domylnaczcionkaakapitu"/>
    <w:link w:val="Nagwek20"/>
    <w:rPr>
      <w:rFonts w:ascii="Times New Roman" w:eastAsia="Times New Roman" w:hAnsi="Times New Roman" w:cs="Times New Roman"/>
      <w:b/>
      <w:bCs/>
      <w:i w:val="0"/>
      <w:iCs w:val="0"/>
      <w:smallCaps w:val="0"/>
      <w:strike w:val="0"/>
      <w:sz w:val="20"/>
      <w:szCs w:val="20"/>
      <w:u w:val="none"/>
    </w:rPr>
  </w:style>
  <w:style w:type="paragraph" w:customStyle="1" w:styleId="Teksttreci20">
    <w:name w:val="Tekst treści (2)"/>
    <w:basedOn w:val="Normalny"/>
    <w:link w:val="Teksttreci2"/>
    <w:pPr>
      <w:spacing w:after="40"/>
      <w:ind w:left="5820"/>
    </w:pPr>
    <w:rPr>
      <w:rFonts w:ascii="Times New Roman" w:eastAsia="Times New Roman" w:hAnsi="Times New Roman" w:cs="Times New Roman"/>
      <w:b/>
      <w:bCs/>
      <w:color w:val="EB798E"/>
      <w:sz w:val="11"/>
      <w:szCs w:val="11"/>
    </w:rPr>
  </w:style>
  <w:style w:type="paragraph" w:customStyle="1" w:styleId="Nagweklubstopka20">
    <w:name w:val="Nagłówek lub stopka (2)"/>
    <w:basedOn w:val="Normalny"/>
    <w:link w:val="Nagweklubstopka2"/>
    <w:rPr>
      <w:rFonts w:ascii="Times New Roman" w:eastAsia="Times New Roman" w:hAnsi="Times New Roman" w:cs="Times New Roman"/>
      <w:sz w:val="20"/>
      <w:szCs w:val="20"/>
    </w:rPr>
  </w:style>
  <w:style w:type="paragraph" w:customStyle="1" w:styleId="Teksttreci30">
    <w:name w:val="Tekst treści (3)"/>
    <w:basedOn w:val="Normalny"/>
    <w:link w:val="Teksttreci3"/>
    <w:pPr>
      <w:spacing w:after="40"/>
      <w:ind w:right="700"/>
      <w:jc w:val="right"/>
    </w:pPr>
    <w:rPr>
      <w:rFonts w:ascii="Arial" w:eastAsia="Arial" w:hAnsi="Arial" w:cs="Arial"/>
      <w:color w:val="EB798E"/>
      <w:sz w:val="19"/>
      <w:szCs w:val="19"/>
    </w:rPr>
  </w:style>
  <w:style w:type="paragraph" w:customStyle="1" w:styleId="Teksttreci40">
    <w:name w:val="Tekst treści (4)"/>
    <w:basedOn w:val="Normalny"/>
    <w:link w:val="Teksttreci4"/>
    <w:pPr>
      <w:spacing w:after="40"/>
      <w:ind w:right="700"/>
      <w:jc w:val="right"/>
    </w:pPr>
    <w:rPr>
      <w:rFonts w:ascii="Arial" w:eastAsia="Arial" w:hAnsi="Arial" w:cs="Arial"/>
      <w:sz w:val="11"/>
      <w:szCs w:val="11"/>
    </w:rPr>
  </w:style>
  <w:style w:type="paragraph" w:customStyle="1" w:styleId="Nagwek10">
    <w:name w:val="Nagłówek #1"/>
    <w:basedOn w:val="Normalny"/>
    <w:link w:val="Nagwek1"/>
    <w:pPr>
      <w:spacing w:after="340"/>
      <w:ind w:left="5820"/>
      <w:outlineLvl w:val="0"/>
    </w:pPr>
    <w:rPr>
      <w:rFonts w:ascii="Arial" w:eastAsia="Arial" w:hAnsi="Arial" w:cs="Arial"/>
      <w:color w:val="EB798E"/>
      <w:sz w:val="22"/>
      <w:szCs w:val="22"/>
    </w:rPr>
  </w:style>
  <w:style w:type="paragraph" w:customStyle="1" w:styleId="Teksttreci0">
    <w:name w:val="Tekst treści"/>
    <w:basedOn w:val="Normalny"/>
    <w:link w:val="Teksttreci"/>
    <w:pPr>
      <w:spacing w:after="190" w:line="254" w:lineRule="auto"/>
    </w:pPr>
    <w:rPr>
      <w:rFonts w:ascii="Times New Roman" w:eastAsia="Times New Roman" w:hAnsi="Times New Roman" w:cs="Times New Roman"/>
      <w:sz w:val="20"/>
      <w:szCs w:val="20"/>
    </w:rPr>
  </w:style>
  <w:style w:type="paragraph" w:customStyle="1" w:styleId="Nagwek20">
    <w:name w:val="Nagłówek #2"/>
    <w:basedOn w:val="Normalny"/>
    <w:link w:val="Nagwek2"/>
    <w:pPr>
      <w:spacing w:after="180" w:line="257" w:lineRule="auto"/>
      <w:jc w:val="center"/>
      <w:outlineLvl w:val="1"/>
    </w:pPr>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759</Words>
  <Characters>4555</Characters>
  <Application>Microsoft Office Word</Application>
  <DocSecurity>0</DocSecurity>
  <Lines>37</Lines>
  <Paragraphs>10</Paragraphs>
  <ScaleCrop>false</ScaleCrop>
  <Company/>
  <LinksUpToDate>false</LinksUpToDate>
  <CharactersWithSpaces>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2022-12-12T19:15:00Z</dcterms:created>
  <dcterms:modified xsi:type="dcterms:W3CDTF">2022-12-12T19:19:00Z</dcterms:modified>
</cp:coreProperties>
</file>