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0"/>
        <w:ind w:right="0" w:firstLine="0"/>
        <w:jc w:val="left"/>
      </w:pPr>
      <w:r>
        <w:rPr>
          <w:color w:val="000000"/>
          <w:spacing w:val="0"/>
          <w:w w:val="100"/>
          <w:position w:val="0"/>
          <w:shd w:val="clear" w:color="auto" w:fill="auto"/>
          <w:lang w:val="pl-PL" w:eastAsia="pl-PL" w:bidi="pl-PL"/>
        </w:rPr>
        <w:t>Elektronicznie podpisany przez:</w:t>
      </w:r>
    </w:p>
    <w:p>
      <w:pPr>
        <w:pStyle w:val="Style2"/>
        <w:keepNext w:val="0"/>
        <w:keepLines w:val="0"/>
        <w:widowControl w:val="0"/>
        <w:shd w:val="clear" w:color="auto" w:fill="auto"/>
        <w:bidi w:val="0"/>
        <w:spacing w:before="0"/>
        <w:ind w:right="0" w:firstLine="0"/>
        <w:jc w:val="left"/>
      </w:pPr>
      <w:r>
        <w:rPr>
          <w:color w:val="000000"/>
          <w:spacing w:val="0"/>
          <w:w w:val="100"/>
          <w:position w:val="0"/>
          <w:shd w:val="clear" w:color="auto" w:fill="auto"/>
          <w:lang w:val="pl-PL" w:eastAsia="pl-PL" w:bidi="pl-PL"/>
        </w:rPr>
        <w:t>Magdalena Macias dnia 7 grudnia 2022 r.</w:t>
      </w:r>
    </w:p>
    <w:p>
      <w:pPr>
        <w:pStyle w:val="Style7"/>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l-PL" w:eastAsia="pl-PL" w:bidi="pl-PL"/>
        </w:rPr>
        <w:t>Uchwała nr 1/90/2022</w:t>
      </w:r>
    </w:p>
    <w:p>
      <w:pPr>
        <w:pStyle w:val="Style7"/>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hd w:val="clear" w:color="auto" w:fill="auto"/>
          <w:lang w:val="pl-PL" w:eastAsia="pl-PL" w:bidi="pl-PL"/>
        </w:rPr>
        <w:t>Składu Orzekającego Regionalnej Izby Obrachunkowej we Wrocławiu</w:t>
        <w:br/>
        <w:t>z dnia 7 grudnia 2022 r.</w:t>
      </w:r>
    </w:p>
    <w:p>
      <w:pPr>
        <w:pStyle w:val="Style10"/>
        <w:keepNext/>
        <w:keepLines/>
        <w:widowControl w:val="0"/>
        <w:shd w:val="clear" w:color="auto" w:fill="auto"/>
        <w:bidi w:val="0"/>
        <w:spacing w:before="0" w:after="460" w:line="240" w:lineRule="auto"/>
        <w:ind w:left="0" w:right="0" w:firstLine="0"/>
        <w:jc w:val="center"/>
      </w:pPr>
      <w:bookmarkStart w:id="0" w:name="bookmark0"/>
      <w:r>
        <w:rPr>
          <w:color w:val="000000"/>
          <w:spacing w:val="0"/>
          <w:w w:val="100"/>
          <w:position w:val="0"/>
          <w:shd w:val="clear" w:color="auto" w:fill="auto"/>
          <w:lang w:val="pl-PL" w:eastAsia="pl-PL" w:bidi="pl-PL"/>
        </w:rPr>
        <w:t>w sprawie opinii o możliwości sfinansowania deficytu budżetu Gminy i Miasta Węgliniec</w:t>
        <w:br/>
        <w:t>przedstawionego w projekcie uchwały budżetowej gminy Węgliniec na 2023 rok</w:t>
      </w:r>
      <w:bookmarkEnd w:id="0"/>
    </w:p>
    <w:p>
      <w:pPr>
        <w:pStyle w:val="Style7"/>
        <w:keepNext w:val="0"/>
        <w:keepLines w:val="0"/>
        <w:widowControl w:val="0"/>
        <w:shd w:val="clear" w:color="auto" w:fill="auto"/>
        <w:bidi w:val="0"/>
        <w:spacing w:before="0" w:after="100" w:line="252" w:lineRule="auto"/>
        <w:ind w:left="0" w:right="0" w:firstLine="460"/>
        <w:jc w:val="both"/>
      </w:pPr>
      <w:r>
        <w:rPr>
          <w:color w:val="000000"/>
          <w:spacing w:val="0"/>
          <w:w w:val="100"/>
          <w:position w:val="0"/>
          <w:shd w:val="clear" w:color="auto" w:fill="auto"/>
          <w:lang w:val="pl-PL" w:eastAsia="pl-PL" w:bidi="pl-PL"/>
        </w:rPr>
        <w:t>Na podstawie art. 19 ust. 2 ustawy z dnia 7 października 1992 r. o regionalnych izbach obrachunkowych (Dz.U. z 2022 r. poz. 1668) w związku z art. 246 ust. 1 ustawy z dnia 27 sierpnia 2009 r. o finansach publicznych (Dz.U. z 2022 r. poz. 1634, z późn. zm.), Skład Orzekający Regionalnej Izby Obrachunkowej we Wrocławiu, w osobach:</w:t>
      </w:r>
    </w:p>
    <w:p>
      <w:pPr>
        <w:pStyle w:val="Style7"/>
        <w:keepNext w:val="0"/>
        <w:keepLines w:val="0"/>
        <w:widowControl w:val="0"/>
        <w:numPr>
          <w:ilvl w:val="0"/>
          <w:numId w:val="1"/>
        </w:numPr>
        <w:shd w:val="clear" w:color="auto" w:fill="auto"/>
        <w:tabs>
          <w:tab w:pos="370" w:val="left"/>
        </w:tabs>
        <w:bidi w:val="0"/>
        <w:spacing w:before="0" w:after="0"/>
        <w:ind w:left="0" w:right="0" w:firstLine="0"/>
        <w:jc w:val="left"/>
      </w:pPr>
      <w:r>
        <w:rPr>
          <w:color w:val="000000"/>
          <w:spacing w:val="0"/>
          <w:w w:val="100"/>
          <w:position w:val="0"/>
          <w:shd w:val="clear" w:color="auto" w:fill="auto"/>
          <w:lang w:val="pl-PL" w:eastAsia="pl-PL" w:bidi="pl-PL"/>
        </w:rPr>
        <w:t>Magdalena Macias — przewodnicząca,</w:t>
      </w:r>
    </w:p>
    <w:p>
      <w:pPr>
        <w:pStyle w:val="Style7"/>
        <w:keepNext w:val="0"/>
        <w:keepLines w:val="0"/>
        <w:widowControl w:val="0"/>
        <w:numPr>
          <w:ilvl w:val="0"/>
          <w:numId w:val="1"/>
        </w:numPr>
        <w:shd w:val="clear" w:color="auto" w:fill="auto"/>
        <w:tabs>
          <w:tab w:pos="370" w:val="left"/>
        </w:tabs>
        <w:bidi w:val="0"/>
        <w:spacing w:before="0" w:after="0"/>
        <w:ind w:left="0" w:right="0" w:firstLine="0"/>
        <w:jc w:val="left"/>
      </w:pPr>
      <w:r>
        <w:rPr>
          <w:color w:val="000000"/>
          <w:spacing w:val="0"/>
          <w:w w:val="100"/>
          <w:position w:val="0"/>
          <w:shd w:val="clear" w:color="auto" w:fill="auto"/>
          <w:lang w:val="pl-PL" w:eastAsia="pl-PL" w:bidi="pl-PL"/>
        </w:rPr>
        <w:t>Joanna Stylska — członek,</w:t>
      </w:r>
    </w:p>
    <w:p>
      <w:pPr>
        <w:pStyle w:val="Style7"/>
        <w:keepNext w:val="0"/>
        <w:keepLines w:val="0"/>
        <w:widowControl w:val="0"/>
        <w:numPr>
          <w:ilvl w:val="0"/>
          <w:numId w:val="1"/>
        </w:numPr>
        <w:shd w:val="clear" w:color="auto" w:fill="auto"/>
        <w:tabs>
          <w:tab w:pos="370" w:val="left"/>
        </w:tabs>
        <w:bidi w:val="0"/>
        <w:spacing w:before="0" w:after="100"/>
        <w:ind w:left="0" w:right="0" w:firstLine="0"/>
        <w:jc w:val="left"/>
      </w:pPr>
      <w:r>
        <w:rPr>
          <w:color w:val="000000"/>
          <w:spacing w:val="0"/>
          <w:w w:val="100"/>
          <w:position w:val="0"/>
          <w:shd w:val="clear" w:color="auto" w:fill="auto"/>
          <w:lang w:val="pl-PL" w:eastAsia="pl-PL" w:bidi="pl-PL"/>
        </w:rPr>
        <w:t>Arkadiusz Babczuk — członek,</w:t>
      </w:r>
    </w:p>
    <w:p>
      <w:pPr>
        <w:pStyle w:val="Style10"/>
        <w:keepNext/>
        <w:keepLines/>
        <w:widowControl w:val="0"/>
        <w:shd w:val="clear" w:color="auto" w:fill="auto"/>
        <w:bidi w:val="0"/>
        <w:spacing w:before="0" w:after="180" w:line="254" w:lineRule="auto"/>
        <w:ind w:left="0" w:right="0" w:firstLine="0"/>
        <w:jc w:val="center"/>
      </w:pPr>
      <w:bookmarkStart w:id="2" w:name="bookmark2"/>
      <w:r>
        <w:rPr>
          <w:color w:val="000000"/>
          <w:spacing w:val="0"/>
          <w:w w:val="100"/>
          <w:position w:val="0"/>
          <w:shd w:val="clear" w:color="auto" w:fill="auto"/>
          <w:lang w:val="pl-PL" w:eastAsia="pl-PL" w:bidi="pl-PL"/>
        </w:rPr>
        <w:t>wydaj e opinię pozytywną</w:t>
      </w:r>
      <w:bookmarkEnd w:id="2"/>
    </w:p>
    <w:p>
      <w:pPr>
        <w:pStyle w:val="Style7"/>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pl-PL" w:eastAsia="pl-PL" w:bidi="pl-PL"/>
        </w:rPr>
        <w:t>o możliwości sfinansowania deficytu budżetu Gminy i Miasta Węgliniec przedstawionego w projekcie uchwały budżetowej gminy Węgliniec na 2023 rok.</w:t>
      </w:r>
    </w:p>
    <w:p>
      <w:pPr>
        <w:pStyle w:val="Style10"/>
        <w:keepNext/>
        <w:keepLines/>
        <w:widowControl w:val="0"/>
        <w:shd w:val="clear" w:color="auto" w:fill="auto"/>
        <w:bidi w:val="0"/>
        <w:spacing w:before="0" w:after="180" w:line="254" w:lineRule="auto"/>
        <w:ind w:left="0" w:right="0" w:firstLine="0"/>
        <w:jc w:val="center"/>
      </w:pPr>
      <w:bookmarkStart w:id="4" w:name="bookmark4"/>
      <w:r>
        <w:rPr>
          <w:color w:val="000000"/>
          <w:spacing w:val="0"/>
          <w:w w:val="100"/>
          <w:position w:val="0"/>
          <w:shd w:val="clear" w:color="auto" w:fill="auto"/>
          <w:lang w:val="pl-PL" w:eastAsia="pl-PL" w:bidi="pl-PL"/>
        </w:rPr>
        <w:t>Uzasadnienie</w:t>
      </w:r>
      <w:bookmarkEnd w:id="4"/>
    </w:p>
    <w:p>
      <w:pPr>
        <w:pStyle w:val="Style7"/>
        <w:keepNext w:val="0"/>
        <w:keepLines w:val="0"/>
        <w:widowControl w:val="0"/>
        <w:shd w:val="clear" w:color="auto" w:fill="auto"/>
        <w:bidi w:val="0"/>
        <w:spacing w:before="0" w:after="100"/>
        <w:ind w:left="0" w:right="0" w:firstLine="460"/>
        <w:jc w:val="both"/>
      </w:pPr>
      <w:r>
        <w:rPr>
          <w:color w:val="000000"/>
          <w:spacing w:val="0"/>
          <w:w w:val="100"/>
          <w:position w:val="0"/>
          <w:shd w:val="clear" w:color="auto" w:fill="auto"/>
          <w:lang w:val="pl-PL" w:eastAsia="pl-PL" w:bidi="pl-PL"/>
        </w:rPr>
        <w:t>Zgodnie z art. 246 ust. 1 ustawy z dnia 27 sierpnia 2009 r. o finansach publicznych (Dz.U. z 2022 r. poz. 1634, z późn. zm.), zwanej dalej „u.f.p.”, regionalna izba obrachunkowa na podstawie projektu uchwały budżetowej przedstawia opinię w sprawie możliwości sfinansowania deficytu przedstawionego przez jednostkę samorządu terytorialnego. W opinii regionalna izba obrachunkowa ocenia możliwość sfinansowania deficytu na podstawie wskazanych źródeł jego finansowania oraz ich wpływu na kształtowanie się długu jednostki samorządu terytorialnego.</w:t>
      </w:r>
    </w:p>
    <w:p>
      <w:pPr>
        <w:pStyle w:val="Style7"/>
        <w:keepNext w:val="0"/>
        <w:keepLines w:val="0"/>
        <w:widowControl w:val="0"/>
        <w:shd w:val="clear" w:color="auto" w:fill="auto"/>
        <w:bidi w:val="0"/>
        <w:spacing w:before="0" w:after="100"/>
        <w:ind w:left="0" w:right="0" w:firstLine="460"/>
        <w:jc w:val="both"/>
      </w:pPr>
      <w:r>
        <w:rPr>
          <w:color w:val="000000"/>
          <w:spacing w:val="0"/>
          <w:w w:val="100"/>
          <w:position w:val="0"/>
          <w:shd w:val="clear" w:color="auto" w:fill="auto"/>
          <w:lang w:val="pl-PL" w:eastAsia="pl-PL" w:bidi="pl-PL"/>
        </w:rPr>
        <w:t>Projekt uchwały budżetowej na 2023 rok Burmistrz Gminy i Miasta Węgliniec przedłożył zarządzeniem nr 114/2022 z dnia 14 listopada 2022 r. w sprawie projektu budżetu Gminy i Miasta Węgliniec na 2023 r. oraz projektu w sprawie Wieloletniej Prognozy Finansowej Gminy Węgliniec. Zarządzenie wpłynęło do tutejszej Izby 15 listopada 2022 roku.</w:t>
      </w:r>
    </w:p>
    <w:p>
      <w:pPr>
        <w:pStyle w:val="Style7"/>
        <w:keepNext w:val="0"/>
        <w:keepLines w:val="0"/>
        <w:widowControl w:val="0"/>
        <w:shd w:val="clear" w:color="auto" w:fill="auto"/>
        <w:bidi w:val="0"/>
        <w:spacing w:before="0"/>
        <w:ind w:left="0" w:right="0" w:firstLine="0"/>
        <w:jc w:val="left"/>
      </w:pPr>
      <w:r>
        <w:rPr>
          <w:color w:val="000000"/>
          <w:spacing w:val="0"/>
          <w:w w:val="100"/>
          <w:position w:val="0"/>
          <w:shd w:val="clear" w:color="auto" w:fill="auto"/>
          <w:lang w:val="pl-PL" w:eastAsia="pl-PL" w:bidi="pl-PL"/>
        </w:rPr>
        <w:t>W projekcie budżetu na 2023 rok zaplanowano:</w:t>
      </w:r>
    </w:p>
    <w:p>
      <w:pPr>
        <w:pStyle w:val="Style7"/>
        <w:keepNext w:val="0"/>
        <w:keepLines w:val="0"/>
        <w:widowControl w:val="0"/>
        <w:numPr>
          <w:ilvl w:val="0"/>
          <w:numId w:val="3"/>
        </w:numPr>
        <w:shd w:val="clear" w:color="auto" w:fill="auto"/>
        <w:tabs>
          <w:tab w:pos="293" w:val="left"/>
        </w:tabs>
        <w:bidi w:val="0"/>
        <w:spacing w:before="0"/>
        <w:ind w:left="0" w:right="0" w:firstLine="0"/>
        <w:jc w:val="left"/>
      </w:pPr>
      <w:r>
        <w:rPr>
          <w:color w:val="000000"/>
          <w:spacing w:val="0"/>
          <w:w w:val="100"/>
          <w:position w:val="0"/>
          <w:shd w:val="clear" w:color="auto" w:fill="auto"/>
          <w:lang w:val="pl-PL" w:eastAsia="pl-PL" w:bidi="pl-PL"/>
        </w:rPr>
        <w:t>dochody w wysokości - 49.355.756,98 zł, z tego:</w:t>
      </w:r>
    </w:p>
    <w:p>
      <w:pPr>
        <w:pStyle w:val="Style7"/>
        <w:keepNext w:val="0"/>
        <w:keepLines w:val="0"/>
        <w:widowControl w:val="0"/>
        <w:numPr>
          <w:ilvl w:val="0"/>
          <w:numId w:val="5"/>
        </w:numPr>
        <w:shd w:val="clear" w:color="auto" w:fill="auto"/>
        <w:tabs>
          <w:tab w:pos="230" w:val="left"/>
        </w:tabs>
        <w:bidi w:val="0"/>
        <w:spacing w:before="0"/>
        <w:ind w:left="0" w:right="0" w:firstLine="0"/>
        <w:jc w:val="left"/>
      </w:pPr>
      <w:r>
        <w:rPr>
          <w:color w:val="000000"/>
          <w:spacing w:val="0"/>
          <w:w w:val="100"/>
          <w:position w:val="0"/>
          <w:shd w:val="clear" w:color="auto" w:fill="auto"/>
          <w:lang w:val="pl-PL" w:eastAsia="pl-PL" w:bidi="pl-PL"/>
        </w:rPr>
        <w:t>dochody bieżące - 35.478.121,98 zł</w:t>
      </w:r>
    </w:p>
    <w:p>
      <w:pPr>
        <w:pStyle w:val="Style7"/>
        <w:keepNext w:val="0"/>
        <w:keepLines w:val="0"/>
        <w:widowControl w:val="0"/>
        <w:numPr>
          <w:ilvl w:val="0"/>
          <w:numId w:val="5"/>
        </w:numPr>
        <w:shd w:val="clear" w:color="auto" w:fill="auto"/>
        <w:tabs>
          <w:tab w:pos="230" w:val="left"/>
        </w:tabs>
        <w:bidi w:val="0"/>
        <w:spacing w:before="0"/>
        <w:ind w:left="0" w:right="0" w:firstLine="0"/>
        <w:jc w:val="left"/>
      </w:pPr>
      <w:r>
        <w:rPr>
          <w:color w:val="000000"/>
          <w:spacing w:val="0"/>
          <w:w w:val="100"/>
          <w:position w:val="0"/>
          <w:shd w:val="clear" w:color="auto" w:fill="auto"/>
          <w:lang w:val="pl-PL" w:eastAsia="pl-PL" w:bidi="pl-PL"/>
        </w:rPr>
        <w:t>dochody majątkowe - 13.877.635,00 zł</w:t>
      </w:r>
    </w:p>
    <w:p>
      <w:pPr>
        <w:pStyle w:val="Style7"/>
        <w:keepNext w:val="0"/>
        <w:keepLines w:val="0"/>
        <w:widowControl w:val="0"/>
        <w:numPr>
          <w:ilvl w:val="0"/>
          <w:numId w:val="3"/>
        </w:numPr>
        <w:shd w:val="clear" w:color="auto" w:fill="auto"/>
        <w:tabs>
          <w:tab w:pos="312" w:val="left"/>
        </w:tabs>
        <w:bidi w:val="0"/>
        <w:spacing w:before="0"/>
        <w:ind w:left="0" w:right="0" w:firstLine="0"/>
        <w:jc w:val="left"/>
      </w:pPr>
      <w:r>
        <w:rPr>
          <w:color w:val="000000"/>
          <w:spacing w:val="0"/>
          <w:w w:val="100"/>
          <w:position w:val="0"/>
          <w:shd w:val="clear" w:color="auto" w:fill="auto"/>
          <w:lang w:val="pl-PL" w:eastAsia="pl-PL" w:bidi="pl-PL"/>
        </w:rPr>
        <w:t>wydatki w wysokości - 53.270.277,95 zł, z tego:</w:t>
      </w:r>
    </w:p>
    <w:p>
      <w:pPr>
        <w:pStyle w:val="Style7"/>
        <w:keepNext w:val="0"/>
        <w:keepLines w:val="0"/>
        <w:widowControl w:val="0"/>
        <w:numPr>
          <w:ilvl w:val="0"/>
          <w:numId w:val="7"/>
        </w:numPr>
        <w:shd w:val="clear" w:color="auto" w:fill="auto"/>
        <w:tabs>
          <w:tab w:pos="230" w:val="left"/>
        </w:tabs>
        <w:bidi w:val="0"/>
        <w:spacing w:before="0"/>
        <w:ind w:left="0" w:right="0" w:firstLine="0"/>
        <w:jc w:val="left"/>
      </w:pPr>
      <w:r>
        <w:rPr>
          <w:color w:val="000000"/>
          <w:spacing w:val="0"/>
          <w:w w:val="100"/>
          <w:position w:val="0"/>
          <w:shd w:val="clear" w:color="auto" w:fill="auto"/>
          <w:lang w:val="pl-PL" w:eastAsia="pl-PL" w:bidi="pl-PL"/>
        </w:rPr>
        <w:t>wydatki bieżące — 35.281.004,95 zł</w:t>
      </w:r>
    </w:p>
    <w:p>
      <w:pPr>
        <w:pStyle w:val="Style7"/>
        <w:keepNext w:val="0"/>
        <w:keepLines w:val="0"/>
        <w:widowControl w:val="0"/>
        <w:numPr>
          <w:ilvl w:val="0"/>
          <w:numId w:val="7"/>
        </w:numPr>
        <w:shd w:val="clear" w:color="auto" w:fill="auto"/>
        <w:tabs>
          <w:tab w:pos="225" w:val="left"/>
        </w:tabs>
        <w:bidi w:val="0"/>
        <w:spacing w:before="0"/>
        <w:ind w:left="0" w:right="0" w:firstLine="0"/>
        <w:jc w:val="left"/>
      </w:pPr>
      <w:r>
        <w:rPr>
          <w:color w:val="000000"/>
          <w:spacing w:val="0"/>
          <w:w w:val="100"/>
          <w:position w:val="0"/>
          <w:shd w:val="clear" w:color="auto" w:fill="auto"/>
          <w:lang w:val="pl-PL" w:eastAsia="pl-PL" w:bidi="pl-PL"/>
        </w:rPr>
        <w:t>wydatki majątkowe - 17.989.273,00 zł</w:t>
      </w:r>
    </w:p>
    <w:p>
      <w:pPr>
        <w:pStyle w:val="Style7"/>
        <w:keepNext w:val="0"/>
        <w:keepLines w:val="0"/>
        <w:widowControl w:val="0"/>
        <w:numPr>
          <w:ilvl w:val="0"/>
          <w:numId w:val="3"/>
        </w:numPr>
        <w:shd w:val="clear" w:color="auto" w:fill="auto"/>
        <w:tabs>
          <w:tab w:pos="312" w:val="left"/>
        </w:tabs>
        <w:bidi w:val="0"/>
        <w:spacing w:before="0"/>
        <w:ind w:left="0" w:right="0" w:firstLine="0"/>
        <w:jc w:val="left"/>
      </w:pPr>
      <w:r>
        <w:rPr>
          <w:color w:val="000000"/>
          <w:spacing w:val="0"/>
          <w:w w:val="100"/>
          <w:position w:val="0"/>
          <w:shd w:val="clear" w:color="auto" w:fill="auto"/>
          <w:lang w:val="pl-PL" w:eastAsia="pl-PL" w:bidi="pl-PL"/>
        </w:rPr>
        <w:t>deficyt budżetu - 3.914.520,97 zł</w:t>
      </w:r>
    </w:p>
    <w:p>
      <w:pPr>
        <w:pStyle w:val="Style7"/>
        <w:keepNext w:val="0"/>
        <w:keepLines w:val="0"/>
        <w:widowControl w:val="0"/>
        <w:numPr>
          <w:ilvl w:val="0"/>
          <w:numId w:val="3"/>
        </w:numPr>
        <w:shd w:val="clear" w:color="auto" w:fill="auto"/>
        <w:tabs>
          <w:tab w:pos="312" w:val="left"/>
        </w:tabs>
        <w:bidi w:val="0"/>
        <w:spacing w:before="0"/>
        <w:ind w:left="0" w:right="0" w:firstLine="0"/>
        <w:jc w:val="left"/>
      </w:pPr>
      <w:r>
        <w:rPr>
          <w:color w:val="000000"/>
          <w:spacing w:val="0"/>
          <w:w w:val="100"/>
          <w:position w:val="0"/>
          <w:shd w:val="clear" w:color="auto" w:fill="auto"/>
          <w:lang w:val="pl-PL" w:eastAsia="pl-PL" w:bidi="pl-PL"/>
        </w:rPr>
        <w:t>przychody w wysokości 5.205.920,97 zł, z tego z tytułu:</w:t>
      </w:r>
    </w:p>
    <w:p>
      <w:pPr>
        <w:pStyle w:val="Style7"/>
        <w:keepNext w:val="0"/>
        <w:keepLines w:val="0"/>
        <w:widowControl w:val="0"/>
        <w:numPr>
          <w:ilvl w:val="0"/>
          <w:numId w:val="9"/>
        </w:numPr>
        <w:shd w:val="clear" w:color="auto" w:fill="auto"/>
        <w:tabs>
          <w:tab w:pos="225" w:val="left"/>
        </w:tabs>
        <w:bidi w:val="0"/>
        <w:spacing w:before="0"/>
        <w:ind w:left="0" w:right="0" w:firstLine="0"/>
        <w:jc w:val="left"/>
      </w:pPr>
      <w:r>
        <w:rPr>
          <w:color w:val="000000"/>
          <w:spacing w:val="0"/>
          <w:w w:val="100"/>
          <w:position w:val="0"/>
          <w:shd w:val="clear" w:color="auto" w:fill="auto"/>
          <w:lang w:val="pl-PL" w:eastAsia="pl-PL" w:bidi="pl-PL"/>
        </w:rPr>
        <w:t>zaciągniętych kredytów i pożyczek - 2.400.000,00 zł,</w:t>
      </w:r>
    </w:p>
    <w:p>
      <w:pPr>
        <w:pStyle w:val="Style7"/>
        <w:keepNext w:val="0"/>
        <w:keepLines w:val="0"/>
        <w:widowControl w:val="0"/>
        <w:numPr>
          <w:ilvl w:val="0"/>
          <w:numId w:val="9"/>
        </w:numPr>
        <w:shd w:val="clear" w:color="auto" w:fill="auto"/>
        <w:tabs>
          <w:tab w:pos="235" w:val="left"/>
        </w:tabs>
        <w:bidi w:val="0"/>
        <w:spacing w:before="0" w:line="257" w:lineRule="auto"/>
        <w:ind w:left="0" w:right="0" w:firstLine="0"/>
        <w:jc w:val="both"/>
      </w:pPr>
      <w:r>
        <w:rPr>
          <w:color w:val="000000"/>
          <w:spacing w:val="0"/>
          <w:w w:val="100"/>
          <w:position w:val="0"/>
          <w:shd w:val="clear" w:color="auto" w:fill="auto"/>
          <w:lang w:val="pl-PL" w:eastAsia="pl-PL" w:bidi="pl-PL"/>
        </w:rPr>
        <w:t>wolnych środków jako nadwyżki środków pieniężnych na rachunku bieżącym budżetu jednostki samorządu terytorialnego, wynikających z rozliczeń wyemitowanych papierów wartościowych, kredytów i pożyczek z lat ubiegłych - 2.706.000,00 zł,</w:t>
      </w:r>
    </w:p>
    <w:p>
      <w:pPr>
        <w:pStyle w:val="Style7"/>
        <w:keepNext w:val="0"/>
        <w:keepLines w:val="0"/>
        <w:widowControl w:val="0"/>
        <w:numPr>
          <w:ilvl w:val="0"/>
          <w:numId w:val="9"/>
        </w:numPr>
        <w:shd w:val="clear" w:color="auto" w:fill="auto"/>
        <w:tabs>
          <w:tab w:pos="202" w:val="left"/>
        </w:tabs>
        <w:bidi w:val="0"/>
        <w:spacing w:before="0" w:after="120" w:line="252" w:lineRule="auto"/>
        <w:ind w:left="0" w:right="0" w:firstLine="0"/>
        <w:jc w:val="both"/>
      </w:pPr>
      <w:r>
        <w:rPr>
          <w:color w:val="000000"/>
          <w:spacing w:val="0"/>
          <w:w w:val="100"/>
          <w:position w:val="0"/>
          <w:shd w:val="clear" w:color="auto" w:fill="auto"/>
          <w:lang w:val="pl-PL" w:eastAsia="pl-PL" w:bidi="pl-PL"/>
        </w:rPr>
        <w:t>niewykorzystanych środków pieniężnych na rachunku bieżącym budżetu, wynikających z rozliczenia środków określonych w art. 5 ust. 1 pkt 2 i dotacji na realizację programu, projektu lub zadania finansowanego z udziałem tych środków - 99.920,97 zł.</w:t>
      </w:r>
    </w:p>
    <w:p>
      <w:pPr>
        <w:pStyle w:val="Style7"/>
        <w:keepNext w:val="0"/>
        <w:keepLines w:val="0"/>
        <w:widowControl w:val="0"/>
        <w:numPr>
          <w:ilvl w:val="0"/>
          <w:numId w:val="3"/>
        </w:numPr>
        <w:shd w:val="clear" w:color="auto" w:fill="auto"/>
        <w:tabs>
          <w:tab w:pos="274" w:val="left"/>
        </w:tabs>
        <w:bidi w:val="0"/>
        <w:spacing w:before="0" w:after="200" w:line="257" w:lineRule="auto"/>
        <w:ind w:left="0" w:right="0" w:firstLine="0"/>
        <w:jc w:val="both"/>
      </w:pPr>
      <w:r>
        <w:rPr>
          <w:color w:val="000000"/>
          <w:spacing w:val="0"/>
          <w:w w:val="100"/>
          <w:position w:val="0"/>
          <w:shd w:val="clear" w:color="auto" w:fill="auto"/>
          <w:lang w:val="pl-PL" w:eastAsia="pl-PL" w:bidi="pl-PL"/>
        </w:rPr>
        <w:t>rozchody związane ze spłatą rat kredytów i pożyczek - 1.291.400,00 zł.</w:t>
      </w:r>
    </w:p>
    <w:p>
      <w:pPr>
        <w:pStyle w:val="Style7"/>
        <w:keepNext w:val="0"/>
        <w:keepLines w:val="0"/>
        <w:widowControl w:val="0"/>
        <w:shd w:val="clear" w:color="auto" w:fill="auto"/>
        <w:bidi w:val="0"/>
        <w:spacing w:before="0" w:after="200" w:line="252" w:lineRule="auto"/>
        <w:ind w:left="0" w:right="0" w:firstLine="0"/>
        <w:jc w:val="both"/>
      </w:pPr>
      <w:r>
        <w:rPr>
          <w:color w:val="000000"/>
          <w:spacing w:val="0"/>
          <w:w w:val="100"/>
          <w:position w:val="0"/>
          <w:shd w:val="clear" w:color="auto" w:fill="auto"/>
          <w:lang w:val="pl-PL" w:eastAsia="pl-PL" w:bidi="pl-PL"/>
        </w:rPr>
        <w:t>W projekcie budżetu zaplanowano deficyt w kwocie 3.914.520,97 zł, którego źródłem finansowania są przychody z planowanego kredytu, z wolnych środków jako nadwyżki środków pieniężnych na rachunku bieżącym budżetu jednostki samorządu terytorialnego, wynikających z rozliczeń wyemitowanych papierów wartościowych, kredytów i pożyczek z lat ubiegłych, z niewykorzystanych środków pieniężnych na rachunku bieżącym budżetu, wynikających z rozliczenia dochodów i wydatków nimi finansowanych związanych ze szczególnymi zasadami wykonywania budżetu określonymi w odrębnych ustawach. Wymienione źródła sfinansowania deficytu są zgodne z art. 217 ust. 2 pkt 2, 6 i 8 ufp.</w:t>
      </w:r>
    </w:p>
    <w:p>
      <w:pPr>
        <w:pStyle w:val="Style7"/>
        <w:keepNext w:val="0"/>
        <w:keepLines w:val="0"/>
        <w:widowControl w:val="0"/>
        <w:shd w:val="clear" w:color="auto" w:fill="auto"/>
        <w:bidi w:val="0"/>
        <w:spacing w:before="0" w:after="200" w:line="257" w:lineRule="auto"/>
        <w:ind w:left="0" w:right="0" w:firstLine="0"/>
        <w:jc w:val="both"/>
      </w:pPr>
      <w:r>
        <w:rPr>
          <w:color w:val="000000"/>
          <w:spacing w:val="0"/>
          <w:w w:val="100"/>
          <w:position w:val="0"/>
          <w:shd w:val="clear" w:color="auto" w:fill="auto"/>
          <w:lang w:val="pl-PL" w:eastAsia="pl-PL" w:bidi="pl-PL"/>
        </w:rPr>
        <w:t>Projekt wieloletniej prognozy finansowej przekazany został drogą elektroniczną łącznie z projektem uchwały budżetowej. Z zawartej w projekcie prognozy kwoty długu i jego spłaty w latach 2023-2040 wynika, że kwota długu na koniec 2023 roku wyniesie 13.092.029,00 zł a jej spłatę planuje się do 2040 roku. Na kwotę długu składają się dotychczas zaciągnięte kredyty i pożyczki oraz kredyty i pożyczki planowane do zaciągnięcia w roku budżetowym.</w:t>
      </w:r>
    </w:p>
    <w:p>
      <w:pPr>
        <w:pStyle w:val="Style7"/>
        <w:keepNext w:val="0"/>
        <w:keepLines w:val="0"/>
        <w:widowControl w:val="0"/>
        <w:shd w:val="clear" w:color="auto" w:fill="auto"/>
        <w:bidi w:val="0"/>
        <w:spacing w:before="0" w:after="200" w:line="257" w:lineRule="auto"/>
        <w:ind w:left="0" w:right="0" w:firstLine="0"/>
        <w:jc w:val="both"/>
      </w:pPr>
      <w:r>
        <w:rPr>
          <w:color w:val="000000"/>
          <w:spacing w:val="0"/>
          <w:w w:val="100"/>
          <w:position w:val="0"/>
          <w:shd w:val="clear" w:color="auto" w:fill="auto"/>
          <w:lang w:val="pl-PL" w:eastAsia="pl-PL" w:bidi="pl-PL"/>
        </w:rPr>
        <w:t>Jak wynika z przedłożonego projektu wieloletniej prognozy finansowej obliczone na podstawie prognozowanych wielkości w latach 2023-2040 relacje spłat zobowiązań finansowych i kosztów ich obsługi określone w art. 243 ufp, przy zastosowaniu w latach 2023-2025 średnich arytmetycznych z ostatnich siedmiu lat, nie przekraczają dopuszczalnych poziomów obciążenia budżetu ich spłatą. Skład Orzekający zwraca jednak uwagę, że przestrzeganie limitów określonych przepisami o finansach publicznych nie chroni przed utratą zdolności do finansowania właściwej realizacji zadań własnych gminy, co organy gminy winny mieć na uwadze planując zaciąganie zobowiązań długoterminowych. Należy przy tym uwzględnić nie tylko ograniczenia prawne zaciągania długu, ale także brać pod uwagę ograniczenia ekonomiczne.</w:t>
      </w:r>
    </w:p>
    <w:p>
      <w:pPr>
        <w:pStyle w:val="Style7"/>
        <w:keepNext w:val="0"/>
        <w:keepLines w:val="0"/>
        <w:widowControl w:val="0"/>
        <w:shd w:val="clear" w:color="auto" w:fill="auto"/>
        <w:bidi w:val="0"/>
        <w:spacing w:before="0" w:after="200" w:line="257" w:lineRule="auto"/>
        <w:ind w:left="0" w:right="0" w:firstLine="0"/>
        <w:jc w:val="both"/>
      </w:pPr>
      <w:r>
        <w:rPr>
          <w:color w:val="000000"/>
          <w:spacing w:val="0"/>
          <w:w w:val="100"/>
          <w:position w:val="0"/>
          <w:shd w:val="clear" w:color="auto" w:fill="auto"/>
          <w:lang w:val="pl-PL" w:eastAsia="pl-PL" w:bidi="pl-PL"/>
        </w:rPr>
        <w:t>W związku z powyższym postanowiono jak w sentencji.</w:t>
      </w:r>
    </w:p>
    <w:p>
      <w:pPr>
        <w:pStyle w:val="Style7"/>
        <w:keepNext w:val="0"/>
        <w:keepLines w:val="0"/>
        <w:widowControl w:val="0"/>
        <w:shd w:val="clear" w:color="auto" w:fill="auto"/>
        <w:bidi w:val="0"/>
        <w:spacing w:before="0" w:after="120" w:line="257" w:lineRule="auto"/>
        <w:ind w:left="0" w:right="0" w:firstLine="400"/>
        <w:jc w:val="both"/>
      </w:pPr>
      <w:r>
        <w:rPr>
          <w:color w:val="000000"/>
          <w:spacing w:val="0"/>
          <w:w w:val="100"/>
          <w:position w:val="0"/>
          <w:shd w:val="clear" w:color="auto" w:fill="auto"/>
          <w:lang w:val="pl-PL" w:eastAsia="pl-PL" w:bidi="pl-PL"/>
        </w:rPr>
        <w:t>Niniejsza opinia, zgodnie z art. 246 ust. 2 u.f.p., podlega publikacji przez jednostkę samorządu terytorialnego na zasadach określonych w ustawie z dnia 6 września 2001 r. o dostępie doinformacji publicznej (Dz.U. z 2022 r. poz. 902) w terminie 7 dni od dnia jej otrzymania.</w:t>
      </w:r>
    </w:p>
    <w:p>
      <w:pPr>
        <w:pStyle w:val="Style7"/>
        <w:keepNext w:val="0"/>
        <w:keepLines w:val="0"/>
        <w:widowControl w:val="0"/>
        <w:shd w:val="clear" w:color="auto" w:fill="auto"/>
        <w:bidi w:val="0"/>
        <w:spacing w:before="0" w:after="340" w:line="257" w:lineRule="auto"/>
        <w:ind w:left="0" w:right="0" w:firstLine="400"/>
        <w:jc w:val="both"/>
      </w:pPr>
      <w:r>
        <w:rPr>
          <w:color w:val="000000"/>
          <w:spacing w:val="0"/>
          <w:w w:val="100"/>
          <w:position w:val="0"/>
          <w:shd w:val="clear" w:color="auto" w:fill="auto"/>
          <w:lang w:val="pl-PL" w:eastAsia="pl-PL" w:bidi="pl-PL"/>
        </w:rPr>
        <w:t>Od niniejszej uchwały' przysługuje zgodnie z art. 20 ust. 1 ustawy o regionalnych izbach obrachunkowych odwołanie do Kolegium Regionalnej Izby Obrachunkowej we Wrocławiu w terminie 14 dni od dnia doręczenia uchwały.</w:t>
      </w:r>
    </w:p>
    <w:p>
      <w:pPr>
        <w:pStyle w:val="Style7"/>
        <w:keepNext w:val="0"/>
        <w:keepLines w:val="0"/>
        <w:widowControl w:val="0"/>
        <w:shd w:val="clear" w:color="auto" w:fill="auto"/>
        <w:bidi w:val="0"/>
        <w:spacing w:before="0" w:after="0" w:line="257" w:lineRule="auto"/>
        <w:ind w:left="0" w:right="0" w:firstLine="0"/>
        <w:jc w:val="center"/>
      </w:pPr>
      <w:r>
        <w:rPr>
          <w:color w:val="000000"/>
          <w:spacing w:val="0"/>
          <w:w w:val="100"/>
          <w:position w:val="0"/>
          <w:shd w:val="clear" w:color="auto" w:fill="auto"/>
          <w:lang w:val="pl-PL" w:eastAsia="pl-PL" w:bidi="pl-PL"/>
        </w:rPr>
        <w:t>Przewodnicząca</w:t>
      </w:r>
    </w:p>
    <w:p>
      <w:pPr>
        <w:pStyle w:val="Style7"/>
        <w:keepNext w:val="0"/>
        <w:keepLines w:val="0"/>
        <w:widowControl w:val="0"/>
        <w:shd w:val="clear" w:color="auto" w:fill="auto"/>
        <w:bidi w:val="0"/>
        <w:spacing w:before="0" w:after="260" w:line="257" w:lineRule="auto"/>
        <w:ind w:left="5940" w:right="0" w:firstLine="0"/>
        <w:jc w:val="both"/>
      </w:pPr>
      <w:r>
        <w:rPr>
          <w:color w:val="000000"/>
          <w:spacing w:val="0"/>
          <w:w w:val="100"/>
          <w:position w:val="0"/>
          <w:shd w:val="clear" w:color="auto" w:fill="auto"/>
          <w:lang w:val="pl-PL" w:eastAsia="pl-PL" w:bidi="pl-PL"/>
        </w:rPr>
        <w:t>Składu Orzekającego</w:t>
      </w:r>
    </w:p>
    <w:p>
      <w:pPr>
        <w:pStyle w:val="Style7"/>
        <w:keepNext w:val="0"/>
        <w:keepLines w:val="0"/>
        <w:widowControl w:val="0"/>
        <w:shd w:val="clear" w:color="auto" w:fill="auto"/>
        <w:bidi w:val="0"/>
        <w:spacing w:before="0" w:after="200" w:line="257" w:lineRule="auto"/>
        <w:ind w:left="6020" w:right="0" w:firstLine="0"/>
        <w:jc w:val="both"/>
      </w:pPr>
      <w:r>
        <w:rPr>
          <w:color w:val="000000"/>
          <w:spacing w:val="0"/>
          <w:w w:val="100"/>
          <w:position w:val="0"/>
          <w:shd w:val="clear" w:color="auto" w:fill="auto"/>
          <w:lang w:val="pl-PL" w:eastAsia="pl-PL" w:bidi="pl-PL"/>
        </w:rPr>
        <w:t>Magdalena Macias</w:t>
      </w:r>
    </w:p>
    <w:sectPr>
      <w:footerReference w:type="default" r:id="rId5"/>
      <w:footnotePr>
        <w:pos w:val="pageBottom"/>
        <w:numFmt w:val="decimal"/>
        <w:numRestart w:val="continuous"/>
      </w:footnotePr>
      <w:pgSz w:w="11900" w:h="16840"/>
      <w:pgMar w:top="483" w:right="1145" w:bottom="1853" w:left="1222" w:header="55" w:footer="3" w:gutter="0"/>
      <w:pgNumType w:start="1"/>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767080</wp:posOffset>
              </wp:positionH>
              <wp:positionV relativeFrom="page">
                <wp:posOffset>10203815</wp:posOffset>
              </wp:positionV>
              <wp:extent cx="2228215" cy="79375"/>
              <wp:wrapNone/>
              <wp:docPr id="1" name="Shape 1"/>
              <a:graphic xmlns:a="http://schemas.openxmlformats.org/drawingml/2006/main">
                <a:graphicData uri="http://schemas.microsoft.com/office/word/2010/wordprocessingShape">
                  <wps:wsp>
                    <wps:cNvSpPr txBox="1"/>
                    <wps:spPr>
                      <a:xfrm>
                        <a:ext cx="2228215" cy="7937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pl-PL" w:eastAsia="pl-PL" w:bidi="pl-PL"/>
                            </w:rPr>
                            <w:t>Id: D1F286B1 -7549-4715-8DB1-24B5FBC672EE</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60.399999999999999pt;margin-top:803.45000000000005pt;width:175.45000000000002pt;height:6.25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pl-PL" w:eastAsia="pl-PL" w:bidi="pl-PL"/>
                      </w:rPr>
                      <w:t>Id: D1F286B1 -7549-4715-8DB1-24B5FBC672EE</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bidi="pl-PL"/>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bidi="pl-PL"/>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bidi="pl-PL"/>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bidi="pl-PL"/>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bidi="pl-PL"/>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Microsoft Sans Serif" w:eastAsia="Microsoft Sans Serif" w:hAnsi="Microsoft Sans Serif" w:cs="Microsoft Sans Serif"/>
        <w:sz w:val="24"/>
        <w:szCs w:val="24"/>
        <w:lang w:val="pl-PL" w:eastAsia="pl-PL" w:bidi="pl-PL"/>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Microsoft Sans Serif" w:eastAsia="Microsoft Sans Serif" w:hAnsi="Microsoft Sans Serif" w:cs="Microsoft Sans Serif"/>
      <w:color w:val="000000"/>
      <w:spacing w:val="0"/>
      <w:w w:val="100"/>
      <w:position w:val="0"/>
      <w:sz w:val="24"/>
      <w:szCs w:val="24"/>
      <w:shd w:val="clear" w:color="auto" w:fill="auto"/>
      <w:lang w:val="pl-PL" w:eastAsia="pl-PL" w:bidi="pl-PL"/>
    </w:rPr>
  </w:style>
  <w:style w:type="character" w:default="1" w:styleId="DefaultParagraphFont">
    <w:name w:val="Default Paragraph Font"/>
    <w:rPr>
      <w:rFonts w:ascii="Microsoft Sans Serif" w:eastAsia="Microsoft Sans Serif" w:hAnsi="Microsoft Sans Serif" w:cs="Microsoft Sans Serif"/>
      <w:color w:val="000000"/>
      <w:spacing w:val="0"/>
      <w:w w:val="100"/>
      <w:position w:val="0"/>
      <w:sz w:val="24"/>
      <w:szCs w:val="24"/>
      <w:shd w:val="clear" w:color="auto" w:fill="auto"/>
      <w:lang w:val="pl-PL" w:eastAsia="pl-PL" w:bidi="pl-PL"/>
    </w:rPr>
  </w:style>
  <w:style w:type="character" w:customStyle="1" w:styleId="CharStyle3">
    <w:name w:val="Tekst treści (2)_"/>
    <w:basedOn w:val="DefaultParagraphFont"/>
    <w:link w:val="Style2"/>
    <w:rPr>
      <w:rFonts w:ascii="Arial" w:eastAsia="Arial" w:hAnsi="Arial" w:cs="Arial"/>
      <w:b w:val="0"/>
      <w:bCs w:val="0"/>
      <w:i w:val="0"/>
      <w:iCs w:val="0"/>
      <w:smallCaps w:val="0"/>
      <w:strike w:val="0"/>
      <w:sz w:val="11"/>
      <w:szCs w:val="11"/>
      <w:u w:val="none"/>
    </w:rPr>
  </w:style>
  <w:style w:type="character" w:customStyle="1" w:styleId="CharStyle5">
    <w:name w:val="Nagłówek lub stopka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Tekst treści_"/>
    <w:basedOn w:val="DefaultParagraphFont"/>
    <w:link w:val="Style7"/>
    <w:rPr>
      <w:rFonts w:ascii="Times New Roman" w:eastAsia="Times New Roman" w:hAnsi="Times New Roman" w:cs="Times New Roman"/>
      <w:b w:val="0"/>
      <w:bCs w:val="0"/>
      <w:i w:val="0"/>
      <w:iCs w:val="0"/>
      <w:smallCaps w:val="0"/>
      <w:strike w:val="0"/>
      <w:sz w:val="20"/>
      <w:szCs w:val="20"/>
      <w:u w:val="none"/>
    </w:rPr>
  </w:style>
  <w:style w:type="character" w:customStyle="1" w:styleId="CharStyle11">
    <w:name w:val="Nagłówek #1_"/>
    <w:basedOn w:val="DefaultParagraphFont"/>
    <w:link w:val="Style10"/>
    <w:rPr>
      <w:rFonts w:ascii="Times New Roman" w:eastAsia="Times New Roman" w:hAnsi="Times New Roman" w:cs="Times New Roman"/>
      <w:b/>
      <w:bCs/>
      <w:i w:val="0"/>
      <w:iCs w:val="0"/>
      <w:smallCaps w:val="0"/>
      <w:strike w:val="0"/>
      <w:sz w:val="20"/>
      <w:szCs w:val="20"/>
      <w:u w:val="none"/>
    </w:rPr>
  </w:style>
  <w:style w:type="paragraph" w:customStyle="1" w:styleId="Style2">
    <w:name w:val="Tekst treści (2)"/>
    <w:basedOn w:val="Normal"/>
    <w:link w:val="CharStyle3"/>
    <w:pPr>
      <w:widowControl w:val="0"/>
      <w:shd w:val="clear" w:color="auto" w:fill="auto"/>
      <w:spacing w:after="400" w:line="338" w:lineRule="auto"/>
      <w:ind w:left="7860"/>
    </w:pPr>
    <w:rPr>
      <w:rFonts w:ascii="Arial" w:eastAsia="Arial" w:hAnsi="Arial" w:cs="Arial"/>
      <w:b w:val="0"/>
      <w:bCs w:val="0"/>
      <w:i w:val="0"/>
      <w:iCs w:val="0"/>
      <w:smallCaps w:val="0"/>
      <w:strike w:val="0"/>
      <w:sz w:val="11"/>
      <w:szCs w:val="11"/>
      <w:u w:val="none"/>
    </w:rPr>
  </w:style>
  <w:style w:type="paragraph" w:customStyle="1" w:styleId="Style4">
    <w:name w:val="Nagłówek lub stopka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Tekst treści"/>
    <w:basedOn w:val="Normal"/>
    <w:link w:val="CharStyle8"/>
    <w:pPr>
      <w:widowControl w:val="0"/>
      <w:shd w:val="clear" w:color="auto" w:fill="auto"/>
      <w:spacing w:after="180" w:line="254" w:lineRule="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0">
    <w:name w:val="Nagłówek #1"/>
    <w:basedOn w:val="Normal"/>
    <w:link w:val="CharStyle11"/>
    <w:pPr>
      <w:widowControl w:val="0"/>
      <w:shd w:val="clear" w:color="auto" w:fill="auto"/>
      <w:spacing w:after="320" w:line="247" w:lineRule="auto"/>
      <w:jc w:val="center"/>
      <w:outlineLvl w:val="0"/>
    </w:pPr>
    <w:rPr>
      <w:rFonts w:ascii="Times New Roman" w:eastAsia="Times New Roman" w:hAnsi="Times New Roman" w:cs="Times New Roman"/>
      <w:b/>
      <w:bCs/>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s>
</file>