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E9AC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982/LVII/22</w:t>
      </w:r>
      <w:r>
        <w:rPr>
          <w:b/>
          <w:caps/>
        </w:rPr>
        <w:br/>
        <w:t>Rady Miejskiej Węglińca</w:t>
      </w:r>
    </w:p>
    <w:p w14:paraId="0D24635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2022 r.</w:t>
      </w:r>
    </w:p>
    <w:p w14:paraId="4802D58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FC71B6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472F3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33/10 o łącznej powierzchni 15,00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Kolejowej 14 </w:t>
      </w:r>
      <w:r w:rsidRPr="004450DA">
        <w:rPr>
          <w:color w:val="000000"/>
          <w:highlight w:val="black"/>
          <w:u w:color="000000"/>
        </w:rPr>
        <w:t>z Panem Andrzejem Nowakiem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48E4AD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7EC28E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9EAE05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2AC639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E1E82" w14:paraId="007E7F0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744082" w14:textId="77777777" w:rsidR="004E1E82" w:rsidRDefault="004E1E8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DBBA14" w14:textId="77777777" w:rsidR="004E1E8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E1E82" w14:paraId="11B3D4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C5A1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3789AFE" w14:textId="77777777" w:rsidR="004E1E82" w:rsidRDefault="004E1E82"/>
          <w:p w14:paraId="14DECC91" w14:textId="77777777" w:rsidR="004E1E82" w:rsidRDefault="004E1E82"/>
          <w:p w14:paraId="425AA10B" w14:textId="77777777" w:rsidR="004E1E82" w:rsidRDefault="004E1E82"/>
          <w:p w14:paraId="29E0F455" w14:textId="77777777" w:rsidR="004E1E82" w:rsidRDefault="004E1E82"/>
          <w:p w14:paraId="360A2E0E" w14:textId="77777777" w:rsidR="004E1E82" w:rsidRDefault="004E1E82"/>
          <w:p w14:paraId="3F95AC5F" w14:textId="77777777" w:rsidR="004E1E82" w:rsidRDefault="004E1E82"/>
          <w:p w14:paraId="6C0297D1" w14:textId="77777777" w:rsidR="004E1E82" w:rsidRDefault="004E1E82"/>
          <w:p w14:paraId="3A872EED" w14:textId="77777777" w:rsidR="004E1E82" w:rsidRDefault="004E1E82"/>
          <w:p w14:paraId="6F2019A1" w14:textId="77777777" w:rsidR="004E1E82" w:rsidRDefault="004E1E82"/>
          <w:p w14:paraId="3D842608" w14:textId="77777777" w:rsidR="004E1E82" w:rsidRDefault="004E1E82"/>
        </w:tc>
      </w:tr>
      <w:tr w:rsidR="004E1E82" w14:paraId="0BD6E9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EAE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E1E82" w14:paraId="4942B5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7277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5 lat na zawarcie kolejnej umowy, której przedmiotem jest ta sama nieruchomość wymagana jest uchwała Rady Miejskiej. W oparciu o art. 37 ust. 4 ustawy z dnia 21.08.1997 r. o gospodarce nieruchomościami zawarcie umów użytkowania, najmu lub dzierżawy na czas 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F2CBC1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48018" w14:textId="77777777" w:rsidR="000F661A" w:rsidRDefault="000F661A">
      <w:r>
        <w:separator/>
      </w:r>
    </w:p>
  </w:endnote>
  <w:endnote w:type="continuationSeparator" w:id="0">
    <w:p w14:paraId="7C3C9D9B" w14:textId="77777777" w:rsidR="000F661A" w:rsidRDefault="000F6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E1E82" w14:paraId="449099E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A37B315" w14:textId="77777777" w:rsidR="004E1E82" w:rsidRDefault="00000000">
          <w:pPr>
            <w:jc w:val="left"/>
            <w:rPr>
              <w:sz w:val="18"/>
            </w:rPr>
          </w:pPr>
          <w:r w:rsidRPr="004450DA">
            <w:rPr>
              <w:sz w:val="18"/>
              <w:lang w:val="en-US"/>
            </w:rPr>
            <w:t>Id: 00017EE6-D635-4BA7-B624-D816A30157C2.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DE19CC" w14:textId="77777777" w:rsidR="004E1E8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450D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6CF0E1" w14:textId="77777777" w:rsidR="004E1E82" w:rsidRDefault="004E1E8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AFFC3" w14:textId="77777777" w:rsidR="000F661A" w:rsidRDefault="000F661A">
      <w:r>
        <w:separator/>
      </w:r>
    </w:p>
  </w:footnote>
  <w:footnote w:type="continuationSeparator" w:id="0">
    <w:p w14:paraId="0AD08AEE" w14:textId="77777777" w:rsidR="000F661A" w:rsidRDefault="000F66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661A"/>
    <w:rsid w:val="004450DA"/>
    <w:rsid w:val="004E1E8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1A598"/>
  <w15:docId w15:val="{7A8A8B55-CAA3-42A8-A1E5-2024382B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982/LVII/22 z dnia 29 grudnia 2022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2023-01-09T09:42:00Z</dcterms:created>
  <dcterms:modified xsi:type="dcterms:W3CDTF">2023-01-09T08:50:00Z</dcterms:modified>
  <cp:category>Akt prawny</cp:category>
</cp:coreProperties>
</file>