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0025" w:rsidRDefault="004F0025">
      <w:pPr>
        <w:pStyle w:val="Nagwek10"/>
        <w:keepNext/>
        <w:keepLines/>
        <w:jc w:val="both"/>
      </w:pPr>
    </w:p>
    <w:p w:rsidR="004F0025" w:rsidRDefault="004F0025" w:rsidP="000673C9">
      <w:pPr>
        <w:pStyle w:val="Nagwek30"/>
        <w:keepNext/>
        <w:keepLines/>
        <w:jc w:val="both"/>
      </w:pPr>
    </w:p>
    <w:p w:rsidR="004F0025" w:rsidRDefault="00000000" w:rsidP="000673C9">
      <w:pPr>
        <w:pStyle w:val="Nagwek30"/>
        <w:keepNext/>
        <w:keepLines/>
        <w:spacing w:line="206" w:lineRule="auto"/>
        <w:ind w:left="0" w:firstLine="0"/>
        <w:jc w:val="both"/>
      </w:pPr>
      <w:r>
        <w:rPr>
          <w:noProof/>
        </w:rPr>
        <mc:AlternateContent>
          <mc:Choice Requires="wps">
            <w:drawing>
              <wp:anchor distT="0" distB="0" distL="114300" distR="114300" simplePos="0" relativeHeight="125829378" behindDoc="0" locked="0" layoutInCell="1" allowOverlap="1">
                <wp:simplePos x="0" y="0"/>
                <wp:positionH relativeFrom="page">
                  <wp:posOffset>4933315</wp:posOffset>
                </wp:positionH>
                <wp:positionV relativeFrom="paragraph">
                  <wp:posOffset>127000</wp:posOffset>
                </wp:positionV>
                <wp:extent cx="1837690" cy="18288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837690" cy="182880"/>
                        </a:xfrm>
                        <a:prstGeom prst="rect">
                          <a:avLst/>
                        </a:prstGeom>
                        <a:noFill/>
                      </wps:spPr>
                      <wps:txbx>
                        <w:txbxContent>
                          <w:p w:rsidR="004F0025" w:rsidRDefault="00000000">
                            <w:pPr>
                              <w:pStyle w:val="Teksttreci0"/>
                              <w:spacing w:line="240" w:lineRule="auto"/>
                              <w:ind w:firstLine="0"/>
                            </w:pPr>
                            <w:r>
                              <w:t>Węgliniec, dnia 25.01.2023 r.</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388.45pt;margin-top:10pt;width:144.7pt;height:14.4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" filled="f" stroked="f">
                <v:textbox inset="0,0,0,0">
                  <w:txbxContent>
                    <w:p w:rsidR="004F0025" w:rsidRDefault="00000000">
                      <w:pPr>
                        <w:pStyle w:val="Teksttreci0"/>
                        <w:spacing w:line="240" w:lineRule="auto"/>
                        <w:ind w:firstLine="0"/>
                      </w:pPr>
                      <w:r>
                        <w:t>Węgliniec, dnia 25.01.2023 r.</w:t>
                      </w:r>
                    </w:p>
                  </w:txbxContent>
                </v:textbox>
                <w10:wrap type="square" side="left" anchorx="page"/>
              </v:shape>
            </w:pict>
          </mc:Fallback>
        </mc:AlternateContent>
      </w:r>
    </w:p>
    <w:p w:rsidR="004F0025" w:rsidRDefault="00000000">
      <w:pPr>
        <w:pStyle w:val="Teksttreci0"/>
        <w:spacing w:after="680" w:line="185" w:lineRule="auto"/>
        <w:ind w:firstLine="500"/>
        <w:jc w:val="both"/>
      </w:pPr>
      <w:r>
        <w:t>IK.6220.6.8.2022.OS</w:t>
      </w:r>
    </w:p>
    <w:p w:rsidR="004F0025" w:rsidRDefault="00000000">
      <w:pPr>
        <w:pStyle w:val="Nagwek20"/>
        <w:keepNext/>
        <w:keepLines/>
      </w:pPr>
      <w:bookmarkStart w:id="0" w:name="bookmark6"/>
      <w:r>
        <w:t>DECYZJA</w:t>
      </w:r>
      <w:r>
        <w:br/>
        <w:t>o środowiskowych uwarunkowaniach</w:t>
      </w:r>
      <w:bookmarkEnd w:id="0"/>
    </w:p>
    <w:p w:rsidR="004F0025" w:rsidRDefault="00000000">
      <w:pPr>
        <w:pStyle w:val="Teksttreci0"/>
        <w:spacing w:after="600" w:line="300" w:lineRule="auto"/>
        <w:ind w:left="500" w:firstLine="640"/>
        <w:jc w:val="both"/>
      </w:pPr>
      <w:r>
        <w:t>Na podstawie art. 104 ustawy z dnia 14 czerwca 1960 r. Kodeks postępowania administracyjnego (</w:t>
      </w:r>
      <w:proofErr w:type="spellStart"/>
      <w:r>
        <w:t>t.j</w:t>
      </w:r>
      <w:proofErr w:type="spellEnd"/>
      <w:r>
        <w:t>. Dz. U. z 2022 r. poz. 2000 - cyt. dalej jako „kpa”) w związku z art. 71 ust. 2 pkt 2, art. 73 ust. 1, art. 75 ust. 1 pkt 4, art. 84, art. 85 ust. 1 i ust. 2 pkt 2 ustawy z dnia 3 października 2008 r. o udostępnieniu informacji o środowisku i jego ochronie, udziale społeczeństwa w ochronie środowiska oraz o ocenach oddziaływania na środowisko (</w:t>
      </w:r>
      <w:proofErr w:type="spellStart"/>
      <w:r>
        <w:t>t.j</w:t>
      </w:r>
      <w:proofErr w:type="spellEnd"/>
      <w:r>
        <w:t xml:space="preserve">. Dz. U. z 2022 r. poz. 1029 ze </w:t>
      </w:r>
      <w:proofErr w:type="spellStart"/>
      <w:r>
        <w:t>zm</w:t>
      </w:r>
      <w:proofErr w:type="spellEnd"/>
      <w:r>
        <w:t xml:space="preserve"> - cyt. dalej jako „ustawa </w:t>
      </w:r>
      <w:proofErr w:type="spellStart"/>
      <w:r>
        <w:t>ooś</w:t>
      </w:r>
      <w:proofErr w:type="spellEnd"/>
      <w:r>
        <w:t xml:space="preserve">”), a także zgodnie z § 3 ust. 1 pkt 54 lit. b rozporządzenia Rady Ministrów z dnia 10 września 2019 r. w sprawie przedsięwzięć mogących znacząco oddziaływać na środowisko (Dz. U. z 2019 r. poz. 1839) po rozpatrzeniu wniosku D3 Solar Sp. z o.o. z siedzibą przy ul. 3 Maja 2,59-920 Bogatynia w sprawie wydania decyzji o środowiskowych uwarunkowaniach dla przedsięwzięcia pod nazwą: </w:t>
      </w:r>
      <w:r>
        <w:rPr>
          <w:b/>
          <w:bCs/>
          <w:sz w:val="24"/>
          <w:szCs w:val="24"/>
        </w:rPr>
        <w:t xml:space="preserve">„Budowa farmy fotowoltaicznej wraz z infrastrukturą towarzyszącą w Czerwonej Wodzie”, </w:t>
      </w:r>
      <w:r>
        <w:t xml:space="preserve">planowanego w miej </w:t>
      </w:r>
      <w:proofErr w:type="spellStart"/>
      <w:r>
        <w:t>scowości</w:t>
      </w:r>
      <w:proofErr w:type="spellEnd"/>
      <w:r>
        <w:t xml:space="preserve"> Czerwona Woda na terenie działek oznaczonych ewidencyjnie numerami 1160, 1163,1168 i 1169 (</w:t>
      </w:r>
      <w:proofErr w:type="spellStart"/>
      <w:r>
        <w:t>obr</w:t>
      </w:r>
      <w:proofErr w:type="spellEnd"/>
      <w:r>
        <w:t>. 0001, Czerwona Woda, AM-4)</w:t>
      </w:r>
    </w:p>
    <w:p w:rsidR="004F0025" w:rsidRDefault="00000000">
      <w:pPr>
        <w:pStyle w:val="Teksttreci0"/>
        <w:spacing w:after="320" w:line="276" w:lineRule="auto"/>
        <w:ind w:left="4740" w:firstLine="0"/>
        <w:rPr>
          <w:sz w:val="24"/>
          <w:szCs w:val="24"/>
        </w:rPr>
      </w:pPr>
      <w:r>
        <w:rPr>
          <w:b/>
          <w:bCs/>
          <w:sz w:val="24"/>
          <w:szCs w:val="24"/>
        </w:rPr>
        <w:t>ORZEKAM:</w:t>
      </w:r>
    </w:p>
    <w:p w:rsidR="004F0025" w:rsidRDefault="00000000">
      <w:pPr>
        <w:pStyle w:val="Teksttreci0"/>
        <w:numPr>
          <w:ilvl w:val="0"/>
          <w:numId w:val="1"/>
        </w:numPr>
        <w:tabs>
          <w:tab w:val="left" w:pos="1145"/>
        </w:tabs>
        <w:spacing w:line="307" w:lineRule="auto"/>
        <w:ind w:left="1140" w:hanging="360"/>
        <w:jc w:val="both"/>
      </w:pPr>
      <w:r>
        <w:t>Stwierdzam brak obowiązku przeprowadzenia oceny oddziaływania przedsięwzięcia na środowisko.</w:t>
      </w:r>
    </w:p>
    <w:p w:rsidR="004F0025" w:rsidRDefault="00000000">
      <w:pPr>
        <w:pStyle w:val="Teksttreci0"/>
        <w:numPr>
          <w:ilvl w:val="0"/>
          <w:numId w:val="1"/>
        </w:numPr>
        <w:tabs>
          <w:tab w:val="left" w:pos="1145"/>
        </w:tabs>
        <w:spacing w:line="307" w:lineRule="auto"/>
        <w:ind w:left="1140" w:hanging="360"/>
        <w:jc w:val="both"/>
      </w:pPr>
      <w:r>
        <w:t>Określam istotne warunki korzystania ze środowiska w fazie realizacji i eksploatacji lub użytkowania przedsięwzięcia:</w:t>
      </w:r>
    </w:p>
    <w:p w:rsidR="004F0025" w:rsidRDefault="00000000">
      <w:pPr>
        <w:pStyle w:val="Teksttreci0"/>
        <w:numPr>
          <w:ilvl w:val="0"/>
          <w:numId w:val="2"/>
        </w:numPr>
        <w:tabs>
          <w:tab w:val="left" w:pos="1458"/>
        </w:tabs>
        <w:spacing w:line="307" w:lineRule="auto"/>
        <w:ind w:left="1140" w:firstLine="0"/>
        <w:jc w:val="both"/>
      </w:pPr>
      <w:r>
        <w:t>Sprzęt pracujący na terenie placu budowy powinien być sprawny oraz parkowany na terenie utwardzonym, zabezpieczonym warstwą nieprzepuszczalną.</w:t>
      </w:r>
    </w:p>
    <w:p w:rsidR="004F0025" w:rsidRDefault="00000000">
      <w:pPr>
        <w:pStyle w:val="Teksttreci0"/>
        <w:numPr>
          <w:ilvl w:val="0"/>
          <w:numId w:val="2"/>
        </w:numPr>
        <w:tabs>
          <w:tab w:val="left" w:pos="1477"/>
        </w:tabs>
        <w:spacing w:line="307" w:lineRule="auto"/>
        <w:ind w:left="1140" w:firstLine="0"/>
        <w:jc w:val="both"/>
      </w:pPr>
      <w:r>
        <w:t xml:space="preserve">W przypadku stwierdzenia </w:t>
      </w:r>
      <w:proofErr w:type="spellStart"/>
      <w:r>
        <w:t>mikrowycieków</w:t>
      </w:r>
      <w:proofErr w:type="spellEnd"/>
      <w:r>
        <w:t xml:space="preserve"> płynów eksploatacyjnych powstałych wskutek awarii sprzętu odcieki te należy gromadzić w szczelnych pojemnikach ustawionych pod maszynami, a uszkodzone urządzenie do czasu odtransportowania do miejsca serwisowania należy umieścić na utwardzonej powierzchni. Zanieczyszczenie należy zneutralizować za pomocą odpowiedniego sorbentu, a następnie przekazać uprawnionemu odbiorcy do unieszkodliwienia.</w:t>
      </w:r>
    </w:p>
    <w:p w:rsidR="004F0025" w:rsidRDefault="00000000">
      <w:pPr>
        <w:pStyle w:val="Teksttreci0"/>
        <w:numPr>
          <w:ilvl w:val="0"/>
          <w:numId w:val="2"/>
        </w:numPr>
        <w:tabs>
          <w:tab w:val="left" w:pos="1458"/>
        </w:tabs>
        <w:spacing w:line="307" w:lineRule="auto"/>
        <w:ind w:left="1140" w:firstLine="0"/>
        <w:jc w:val="both"/>
      </w:pPr>
      <w:r>
        <w:t>Obsługa pojazdów i maszyn związana z użyciem substancji płynnych (uzupełnianie paliwa, wymiana materiałów smarnych itp.) powinna być prowadzona poza placem budowy.</w:t>
      </w:r>
    </w:p>
    <w:p w:rsidR="004F0025" w:rsidRDefault="00000000">
      <w:pPr>
        <w:pStyle w:val="Teksttreci0"/>
        <w:numPr>
          <w:ilvl w:val="0"/>
          <w:numId w:val="2"/>
        </w:numPr>
        <w:tabs>
          <w:tab w:val="left" w:pos="1472"/>
        </w:tabs>
        <w:spacing w:line="307" w:lineRule="auto"/>
        <w:ind w:left="1140" w:firstLine="0"/>
        <w:jc w:val="both"/>
      </w:pPr>
      <w:r>
        <w:t>Odpady należy magazynować selektywnie w zamykanych, szczelnych i oznakowanych pojemnikach, ustawionych w wyznaczonym miejscu o utwardzonym podłożu, zabezpieczonym przed wpływem warunków atmosferycznych, a następnie przekazywać uprawnionym podmiotom do dalszego zagospodarowania.</w:t>
      </w:r>
    </w:p>
    <w:p w:rsidR="004F0025" w:rsidRDefault="00000000">
      <w:pPr>
        <w:pStyle w:val="Teksttreci0"/>
        <w:numPr>
          <w:ilvl w:val="0"/>
          <w:numId w:val="2"/>
        </w:numPr>
        <w:tabs>
          <w:tab w:val="left" w:pos="1462"/>
        </w:tabs>
        <w:spacing w:line="307" w:lineRule="auto"/>
        <w:ind w:left="1140" w:firstLine="0"/>
        <w:jc w:val="both"/>
      </w:pPr>
      <w:r>
        <w:t>Odpady niebezpieczne magazynować w zamkniętych, szczelnych i oznakowanych pojemnikach lub kontenerach, odpornych na działanie składników umieszczonych w nich odpadów zlokalizowanych w wyznaczonym miejscu o utwardzonym podłożu, zabezpieczonym przed wpływem warunków atmosferycznych i przed dostępem osób nieupoważnionych, a następnie przekazywać uprawnionym odbiorcom.</w:t>
      </w:r>
    </w:p>
    <w:p w:rsidR="004F0025" w:rsidRDefault="00000000">
      <w:pPr>
        <w:pStyle w:val="Teksttreci0"/>
        <w:spacing w:after="360" w:line="240" w:lineRule="auto"/>
        <w:ind w:firstLine="0"/>
        <w:jc w:val="center"/>
        <w:rPr>
          <w:sz w:val="20"/>
          <w:szCs w:val="20"/>
        </w:rPr>
      </w:pPr>
      <w:r>
        <w:rPr>
          <w:sz w:val="20"/>
          <w:szCs w:val="20"/>
        </w:rPr>
        <w:t>Strona 1 z 8</w:t>
      </w:r>
    </w:p>
    <w:p w:rsidR="004F0025" w:rsidRDefault="00000000">
      <w:pPr>
        <w:pStyle w:val="Teksttreci0"/>
        <w:numPr>
          <w:ilvl w:val="0"/>
          <w:numId w:val="2"/>
        </w:numPr>
        <w:tabs>
          <w:tab w:val="left" w:pos="1443"/>
        </w:tabs>
        <w:ind w:left="1140" w:firstLine="40"/>
        <w:jc w:val="both"/>
      </w:pPr>
      <w:r>
        <w:t xml:space="preserve">Wycinkę drzew i krzewów kolidujących z realizacją inwestycji w okresie od 15 marca do 31 sierpnia prowadzić pod nadzorem specjalisty ornitologa, który przed rozpoczęciem wycinki </w:t>
      </w:r>
      <w:r>
        <w:lastRenderedPageBreak/>
        <w:t>dokona oględzin drzew i krzewów pod kątem gniazdowania ptaków, a w przypadku potwierdzenia ich gniazdowania - wskaże dopuszczalny termin prowadzenia wycinki. W pozostałym okresie (od 1 września do końca lutego) ww. nadzór nie jest wymagany.</w:t>
      </w:r>
    </w:p>
    <w:p w:rsidR="004F0025" w:rsidRDefault="00000000">
      <w:pPr>
        <w:pStyle w:val="Teksttreci0"/>
        <w:numPr>
          <w:ilvl w:val="0"/>
          <w:numId w:val="2"/>
        </w:numPr>
        <w:tabs>
          <w:tab w:val="left" w:pos="1477"/>
        </w:tabs>
        <w:spacing w:after="40"/>
        <w:ind w:left="1140" w:firstLine="60"/>
        <w:jc w:val="both"/>
      </w:pPr>
      <w:r>
        <w:t>Rozpoczęcie prac budowlanych (ziemnych) w terminie od 1 marca do 15 sierpnia poprzedzić kontrolą z udziałem specjalisty ornitologa, który dokona oglądu terenu pod kątem występowania gniazd i miejsc bytowania chronionych gatunków ptaków, a w sytuacji stwierdzenia ich występowania wskaże dopuszczalny termin prowadzenia prac. W pozostałym okresie (od 1 września do końca lutego) ww. kontrola nie jest wymagana.</w:t>
      </w:r>
    </w:p>
    <w:p w:rsidR="004F0025" w:rsidRDefault="00000000">
      <w:pPr>
        <w:pStyle w:val="Teksttreci0"/>
        <w:numPr>
          <w:ilvl w:val="0"/>
          <w:numId w:val="2"/>
        </w:numPr>
        <w:tabs>
          <w:tab w:val="left" w:pos="1532"/>
        </w:tabs>
        <w:spacing w:after="40"/>
        <w:ind w:left="1140" w:firstLine="60"/>
        <w:jc w:val="both"/>
      </w:pPr>
      <w:r>
        <w:t>Panele fotowoltaiczne wyposażyć w powłoki antyrefleksyjne.</w:t>
      </w:r>
    </w:p>
    <w:p w:rsidR="004F0025" w:rsidRDefault="00000000">
      <w:pPr>
        <w:pStyle w:val="Teksttreci0"/>
        <w:spacing w:after="40"/>
        <w:ind w:left="1140" w:firstLine="60"/>
        <w:jc w:val="both"/>
      </w:pPr>
      <w:r>
        <w:t>i )Pomiędzy dolną krawędzią ogrodzenia inwestycji, a powierzchnią ziemi pozostawić wolną przestrzeń o wysokości minimum 15-20 cm.</w:t>
      </w:r>
    </w:p>
    <w:p w:rsidR="004F0025" w:rsidRDefault="00000000">
      <w:pPr>
        <w:pStyle w:val="Teksttreci0"/>
        <w:numPr>
          <w:ilvl w:val="0"/>
          <w:numId w:val="3"/>
        </w:numPr>
        <w:tabs>
          <w:tab w:val="left" w:pos="1438"/>
        </w:tabs>
        <w:spacing w:line="300" w:lineRule="auto"/>
        <w:ind w:left="1140" w:firstLine="60"/>
        <w:jc w:val="both"/>
      </w:pPr>
      <w:r>
        <w:t>Prace prowadzić w sposób niepowodujący powstania zastoisk i zalewisk, które mogą być wykorzystywane przez płazy jako siedliska lęgowe.</w:t>
      </w:r>
    </w:p>
    <w:p w:rsidR="004F0025" w:rsidRDefault="00000000">
      <w:pPr>
        <w:pStyle w:val="Teksttreci0"/>
        <w:numPr>
          <w:ilvl w:val="0"/>
          <w:numId w:val="3"/>
        </w:numPr>
        <w:tabs>
          <w:tab w:val="left" w:pos="1537"/>
        </w:tabs>
        <w:spacing w:after="40" w:line="300" w:lineRule="auto"/>
        <w:ind w:left="1200" w:firstLine="0"/>
        <w:jc w:val="both"/>
      </w:pPr>
      <w:r>
        <w:t>W wykopach o wąskim rozstawie (np. pod instalacje kablowe) stosować punktowe pochylnie umożliwiające opuszczenie wykopu przez zwierzęta.</w:t>
      </w:r>
    </w:p>
    <w:p w:rsidR="004F0025" w:rsidRDefault="00000000">
      <w:pPr>
        <w:pStyle w:val="Teksttreci0"/>
        <w:numPr>
          <w:ilvl w:val="0"/>
          <w:numId w:val="3"/>
        </w:numPr>
        <w:tabs>
          <w:tab w:val="left" w:pos="1474"/>
        </w:tabs>
        <w:spacing w:after="40" w:line="302" w:lineRule="auto"/>
        <w:ind w:left="1200" w:firstLine="0"/>
        <w:jc w:val="both"/>
      </w:pPr>
      <w:r>
        <w:t>W trakcie realizacji inwestycji, na bieżąco kontrolować wykopy oraz inne miejsca mogące stanowić pułapki dla zwierząt, m.in. małych ssaków, płazów i gadów, a znajdujące się w nich zwierzęta niezwłocznie odławiać i wypuszczać poza obszar inwestycji, przy czym ostatnią kontrolę obecności zwierząt przeprowadzić bezpośrednio przed zasypaniem wykopów.</w:t>
      </w:r>
    </w:p>
    <w:p w:rsidR="004F0025" w:rsidRDefault="00000000">
      <w:pPr>
        <w:pStyle w:val="Teksttreci0"/>
        <w:spacing w:after="40"/>
        <w:ind w:left="1200" w:firstLine="0"/>
        <w:jc w:val="both"/>
      </w:pPr>
      <w:r>
        <w:t>ł) Duże kamienie stanowiące odpad podczas prac budowlanych zebrać w niewielkie pryzmy (około 1 m wysokości i około 4-7 m</w:t>
      </w:r>
      <w:r>
        <w:rPr>
          <w:vertAlign w:val="superscript"/>
        </w:rPr>
        <w:t>2</w:t>
      </w:r>
      <w:r>
        <w:t xml:space="preserve"> powierzchni) i pozostawić na skraju farmy stwarzając siedliska gadów i miejsca schronienia płazów.</w:t>
      </w:r>
    </w:p>
    <w:p w:rsidR="004F0025" w:rsidRDefault="00000000">
      <w:pPr>
        <w:pStyle w:val="Teksttreci0"/>
        <w:numPr>
          <w:ilvl w:val="0"/>
          <w:numId w:val="3"/>
        </w:numPr>
        <w:tabs>
          <w:tab w:val="left" w:pos="1599"/>
        </w:tabs>
        <w:spacing w:after="40"/>
        <w:ind w:left="1200" w:firstLine="0"/>
        <w:jc w:val="both"/>
      </w:pPr>
      <w:r>
        <w:t>Posadowić dla zapylaczy jedną budkę dla owadów pożytecznych typu hotel.</w:t>
      </w:r>
    </w:p>
    <w:p w:rsidR="004F0025" w:rsidRDefault="00000000">
      <w:pPr>
        <w:pStyle w:val="Teksttreci0"/>
        <w:spacing w:after="40" w:line="300" w:lineRule="auto"/>
        <w:ind w:left="1200" w:firstLine="0"/>
        <w:jc w:val="both"/>
      </w:pPr>
      <w:r>
        <w:t>n) Po zakończeniu realizacji inwestycji teren inwestycji obsiać mieszanką traw rodzimego pochodzenia. Nie stosować gatunków roślin inwazyjnych.</w:t>
      </w:r>
    </w:p>
    <w:p w:rsidR="004F0025" w:rsidRDefault="00000000">
      <w:pPr>
        <w:pStyle w:val="Teksttreci0"/>
        <w:spacing w:line="298" w:lineRule="auto"/>
        <w:ind w:left="1200" w:firstLine="0"/>
        <w:jc w:val="both"/>
      </w:pPr>
      <w:r>
        <w:t>o) Koszenie terenu wykonywać nie częściej niż 1 raz w roku po 15 sierpnia, lecz przed 1 marca.</w:t>
      </w:r>
    </w:p>
    <w:p w:rsidR="004F0025" w:rsidRDefault="00000000">
      <w:pPr>
        <w:pStyle w:val="Teksttreci0"/>
        <w:numPr>
          <w:ilvl w:val="0"/>
          <w:numId w:val="4"/>
        </w:numPr>
        <w:tabs>
          <w:tab w:val="left" w:pos="1174"/>
        </w:tabs>
        <w:spacing w:line="298" w:lineRule="auto"/>
        <w:ind w:left="1120" w:hanging="360"/>
        <w:jc w:val="both"/>
      </w:pPr>
      <w:r>
        <w:t>Stwierdzam zgodność przedsięwzięcia z obowiązującym miejscowym planem zagospodarowania przestrzennego.</w:t>
      </w:r>
    </w:p>
    <w:p w:rsidR="004F0025" w:rsidRDefault="00000000">
      <w:pPr>
        <w:pStyle w:val="Teksttreci0"/>
        <w:numPr>
          <w:ilvl w:val="0"/>
          <w:numId w:val="4"/>
        </w:numPr>
        <w:tabs>
          <w:tab w:val="left" w:pos="1193"/>
        </w:tabs>
        <w:spacing w:after="620" w:line="298" w:lineRule="auto"/>
        <w:ind w:left="1120" w:hanging="360"/>
        <w:jc w:val="both"/>
      </w:pPr>
      <w:r>
        <w:t>Charakterystykę przedsięwzięcia określa załącznik nr 1 stanowiący integralną cześć niniejszej decyzji.</w:t>
      </w:r>
    </w:p>
    <w:p w:rsidR="004F0025" w:rsidRDefault="00000000">
      <w:pPr>
        <w:pStyle w:val="Teksttreci0"/>
        <w:spacing w:after="160" w:line="276" w:lineRule="auto"/>
        <w:ind w:firstLine="0"/>
        <w:jc w:val="center"/>
        <w:rPr>
          <w:sz w:val="24"/>
          <w:szCs w:val="24"/>
        </w:rPr>
      </w:pPr>
      <w:r>
        <w:rPr>
          <w:b/>
          <w:bCs/>
          <w:sz w:val="24"/>
          <w:szCs w:val="24"/>
        </w:rPr>
        <w:t>UZASADNIENIE</w:t>
      </w:r>
    </w:p>
    <w:p w:rsidR="004F0025" w:rsidRDefault="00000000">
      <w:pPr>
        <w:pStyle w:val="Teksttreci0"/>
        <w:spacing w:line="295" w:lineRule="auto"/>
        <w:ind w:left="460" w:firstLine="720"/>
        <w:jc w:val="both"/>
      </w:pPr>
      <w:r>
        <w:t xml:space="preserve">Wnioskiem z dnia 18.10.2022 r. (data wpływu do tut. urzędu 19.10.2022 r.) Spółka D3 Solar Sp. z o.o. z siedzibą przy ul. 3 Maja 2, 59-920 Bogatynia wystąpiła do Burmistrz Gminy i Miasta Węgliniec w sprawie wydania decyzji o środowiskowych uwarunkowaniach dla przedsięwzięcia pod nazwą </w:t>
      </w:r>
      <w:r>
        <w:rPr>
          <w:b/>
          <w:bCs/>
          <w:sz w:val="24"/>
          <w:szCs w:val="24"/>
        </w:rPr>
        <w:t xml:space="preserve">„Budowa farmy fotowoltaicznej wraz z infrastrukturą towarzyszącą w Czerwonej Wodzie”, </w:t>
      </w:r>
      <w:r>
        <w:t>planowanego w miejscowości Czerwona Woda na terenie działek oznaczonych ewidencyjnie numerami 1160, 1163, 1168 i 1169 (</w:t>
      </w:r>
      <w:proofErr w:type="spellStart"/>
      <w:r>
        <w:t>obr</w:t>
      </w:r>
      <w:proofErr w:type="spellEnd"/>
      <w:r>
        <w:t>. 0001, Czerwona Woda, AM-4).</w:t>
      </w:r>
    </w:p>
    <w:p w:rsidR="004F0025" w:rsidRDefault="00000000">
      <w:pPr>
        <w:pStyle w:val="Teksttreci0"/>
        <w:ind w:left="460" w:firstLine="700"/>
        <w:jc w:val="both"/>
      </w:pPr>
      <w:r>
        <w:t>Pismem znak IK.6220.6.2022.OŚ z dnia 20.10.2022 r. wnioskodawca został wezwany przez tut. urząd do usunięcia braków wniosku, które uzupełnił pismem z dnia 08.11.2022 r.</w:t>
      </w:r>
    </w:p>
    <w:p w:rsidR="004F0025" w:rsidRDefault="00000000">
      <w:pPr>
        <w:pStyle w:val="Teksttreci0"/>
        <w:ind w:left="460" w:firstLine="700"/>
        <w:jc w:val="both"/>
      </w:pPr>
      <w:r>
        <w:t xml:space="preserve">Powyższe zamierzenie inwestycyjne zgodnie z informacjami zwartymi w karcie informacyjnej przedsięwzięcia, kwalifikuje się do przedsięwzięć wymienionych w § 3 ust. 1 pkt 54 lit. b rozporządzenia Rady Ministrów z dnia 10.09.2019 r. w sprawie przedsięwzięć mogących znacząco oddziaływać na środowisko (Dz. U. z 2019 r. poz. 1839), jako przedsięwzięcie mogące potencjalnie znacząco oddziaływać na środowisko, dla którego zgodnie z art. 64 ust. 1 ustawy </w:t>
      </w:r>
      <w:proofErr w:type="spellStart"/>
      <w:r>
        <w:t>ooś</w:t>
      </w:r>
      <w:proofErr w:type="spellEnd"/>
      <w:r>
        <w:t xml:space="preserve"> obowiązek przeprowadzenia oceny oddziaływania przedsięwzięcia na środowisko stwierdza się po zasięgnięciu opinii Regionalnego Dyrektora Ochrony Środowiska, Państwowego Powiatowego Inspektora Sanitarnego oraz Dyrektora Zarządu Zlewni Wód Polskich.</w:t>
      </w:r>
    </w:p>
    <w:p w:rsidR="004F0025" w:rsidRDefault="00000000">
      <w:pPr>
        <w:pStyle w:val="Teksttreci0"/>
        <w:ind w:left="460" w:firstLine="700"/>
        <w:jc w:val="both"/>
      </w:pPr>
      <w:r>
        <w:t xml:space="preserve">Na podstawie analizy przedłożonej przez wnioskodawcę dokumentacji ustalono, że liczba stron </w:t>
      </w:r>
      <w:r>
        <w:lastRenderedPageBreak/>
        <w:t xml:space="preserve">postępowania w niniejszej sprawie przekracza 10, a więc zgodnie z zapisami art. 74 ust.3 ustawy </w:t>
      </w:r>
      <w:proofErr w:type="spellStart"/>
      <w:r>
        <w:t>ooś</w:t>
      </w:r>
      <w:proofErr w:type="spellEnd"/>
      <w:r>
        <w:t xml:space="preserve"> zastosowano przepis art. 49 kpa.</w:t>
      </w:r>
    </w:p>
    <w:p w:rsidR="004F0025" w:rsidRDefault="00000000">
      <w:pPr>
        <w:pStyle w:val="Teksttreci0"/>
        <w:ind w:left="460" w:firstLine="700"/>
        <w:jc w:val="both"/>
      </w:pPr>
      <w:r>
        <w:t xml:space="preserve">W związku z faktem, że wniosek spełniał wymogi formalne określone przez przepisy kpa oraz ustawy </w:t>
      </w:r>
      <w:proofErr w:type="spellStart"/>
      <w:r>
        <w:t>ooś</w:t>
      </w:r>
      <w:proofErr w:type="spellEnd"/>
      <w:r>
        <w:t>, Burmistrz Gminy i Miasta Węglinie stosownie do art. 61 § 1 i 4 kpa pismem znak: IK.6220.6.1.2022.OŚ z dnia 09.11.2022 r. wydanym w formie publicznego obwieszczenia zawiadomił strony o wszczęciu postępowania w sprawie wydania decyzji o środowiskowych uwarunkowaniach. Wyżej wymienione obwieszczenie zamieszczono na stronie internetowej Biuletynu Informacji Publicznej Urzędu Gminy i Miasta w Węglińcu, a także wywieszono na tablicy ogłoszeń Urzędu Gminy i Miasta w Węglińcu oraz na tablicy ogłoszeń w miejscowości planowanego przedsięwzięcia.</w:t>
      </w:r>
    </w:p>
    <w:p w:rsidR="004F0025" w:rsidRDefault="00000000">
      <w:pPr>
        <w:pStyle w:val="Teksttreci0"/>
        <w:ind w:left="460" w:firstLine="700"/>
        <w:jc w:val="both"/>
      </w:pPr>
      <w:r>
        <w:t xml:space="preserve">Następnie organ prowadzący postępowanie w myśl art. 64 ust. 1 pkt 1, 2 i 4 oraz art. 64 ust. 2 ustawy </w:t>
      </w:r>
      <w:proofErr w:type="spellStart"/>
      <w:r>
        <w:t>ooś</w:t>
      </w:r>
      <w:proofErr w:type="spellEnd"/>
      <w:r>
        <w:t xml:space="preserve"> pismem z dnia 09.11.2022 r. wystąpił do Regionalnego Dyrektora Ochrony Środowiska we Wrocławiu, Państwowego Powiatowego Inspektora Sanitarnego w Zgorzelcu oraz Państwowego Gospodarstwa Wodnego Wody Polskie Zarząd Zlewni w Lwówku Śląskim o wyrażenie opinii co do potrzeby przeprowadzenia oceny oddziaływania na środowisko i ewentualne określenie zakresu raportu. Strony postępowania zostały zawiadomione na temat ww. wystąpienia za pomocą obwieszczenia znak: IK.6220.6.3.2022.OŚ z dnia 09.11.2022 r.</w:t>
      </w:r>
    </w:p>
    <w:p w:rsidR="004F0025" w:rsidRDefault="00000000">
      <w:pPr>
        <w:pStyle w:val="Teksttreci0"/>
        <w:ind w:left="460" w:firstLine="340"/>
        <w:jc w:val="both"/>
      </w:pPr>
      <w:r>
        <w:t>W dniu 17.11.2022 r. (data wpływu do tut. urzędu 22.11.2022 r.) Państwowy Powiatowy Inspektor Sanitarny w Zgorzelcu wydał postanowienie znak ZNS.9022.3.20.2022.MW, w którym wyraził opinię o braku potrzeby przeprowadzenia oceny oddziaływania na środowisko przedmiotowego przedsięwzięcia.</w:t>
      </w:r>
    </w:p>
    <w:p w:rsidR="004F0025" w:rsidRDefault="00000000">
      <w:pPr>
        <w:pStyle w:val="Teksttreci0"/>
        <w:ind w:left="460" w:firstLine="340"/>
        <w:jc w:val="both"/>
      </w:pPr>
      <w:r>
        <w:t xml:space="preserve">W dniu 16.11.2022 r. Dyrektor Państwowego Gospodarstwa Wodnego Wody Polskie Zarząd Zlewnii w Lwówku Śląskim wydał opinię znak WR.ZZŚ.3.435.231.2022.ES (data wpływu do tut. urzędu 22.11.2022 r.), iż dla ww. przedsięwzięcia nie istnieje konieczność przeprowadzenia oceny oddziaływania na środowisko. Jednocześnie w swojej opinii wskazał warunki o których mowa w art. 82 ust. 1 pkt 1 lit. b ustawy </w:t>
      </w:r>
      <w:proofErr w:type="spellStart"/>
      <w:r>
        <w:t>ooś</w:t>
      </w:r>
      <w:proofErr w:type="spellEnd"/>
      <w:r>
        <w:t>. Uwzględnione przez organ prowadzący warunki znajdują się w treści niniejszej decyzji w pkt II lit. a-e.</w:t>
      </w:r>
    </w:p>
    <w:p w:rsidR="004F0025" w:rsidRDefault="00000000">
      <w:pPr>
        <w:pStyle w:val="Teksttreci0"/>
        <w:ind w:left="460" w:firstLine="340"/>
        <w:jc w:val="both"/>
      </w:pPr>
      <w:r>
        <w:t>Natomiast Regionalny Dyrektor Ochrony Środowiska we Wrocławiu pismem znak WOOŚ.4220.835.2022.MK.1 z dnia 29.11.2022 r. poinformował o niemożliwości rozpatrzenia przedmiotowej sprawy w ustalonym terminie, z uwagi na konieczność jego szczegółowej analizy i poinformował, że przewidywane załatwienie sprawy nastąpi w terminie do dnia 30 grudnia 2022 r.</w:t>
      </w:r>
    </w:p>
    <w:p w:rsidR="004F0025" w:rsidRDefault="00000000">
      <w:pPr>
        <w:pStyle w:val="Teksttreci0"/>
        <w:spacing w:line="302" w:lineRule="auto"/>
        <w:ind w:left="260" w:firstLine="360"/>
        <w:jc w:val="both"/>
      </w:pPr>
      <w:r>
        <w:t>Następnie Regionalny Dyrektor Ochrony Środowiska we Wrocławiu w postanowieniu z dnia 30.12.2022 r., znak WOOŚ.4220.835.2022.MK.2 wyraził opinię, że:</w:t>
      </w:r>
    </w:p>
    <w:p w:rsidR="004F0025" w:rsidRDefault="00000000">
      <w:pPr>
        <w:pStyle w:val="Teksttreci0"/>
        <w:numPr>
          <w:ilvl w:val="0"/>
          <w:numId w:val="5"/>
        </w:numPr>
        <w:tabs>
          <w:tab w:val="left" w:pos="481"/>
        </w:tabs>
        <w:spacing w:line="302" w:lineRule="auto"/>
        <w:ind w:left="260" w:firstLine="20"/>
        <w:jc w:val="both"/>
      </w:pPr>
      <w:r>
        <w:t>dla przedmiotowego przedsięwzięcia nie istnieje konieczność przeprowadzenia oceny oddziaływania na środowisko,</w:t>
      </w:r>
    </w:p>
    <w:p w:rsidR="004F0025" w:rsidRDefault="00000000">
      <w:pPr>
        <w:pStyle w:val="Teksttreci0"/>
        <w:numPr>
          <w:ilvl w:val="0"/>
          <w:numId w:val="5"/>
        </w:numPr>
        <w:tabs>
          <w:tab w:val="left" w:pos="481"/>
        </w:tabs>
        <w:spacing w:line="302" w:lineRule="auto"/>
        <w:ind w:left="260" w:firstLine="20"/>
        <w:jc w:val="both"/>
      </w:pPr>
      <w:r>
        <w:t xml:space="preserve">istnieje konieczność określenia w decyzji o środowiskowych uwarunkowaniach warunków, o których mowa w art. 82 ust. 1 pkt 1 lit. b ustawy </w:t>
      </w:r>
      <w:proofErr w:type="spellStart"/>
      <w:r>
        <w:t>ooś</w:t>
      </w:r>
      <w:proofErr w:type="spellEnd"/>
      <w:r>
        <w:t>.</w:t>
      </w:r>
    </w:p>
    <w:p w:rsidR="004F0025" w:rsidRDefault="00000000">
      <w:pPr>
        <w:pStyle w:val="Teksttreci0"/>
        <w:spacing w:line="302" w:lineRule="auto"/>
        <w:ind w:left="260" w:firstLine="20"/>
        <w:jc w:val="both"/>
      </w:pPr>
      <w:r>
        <w:t>Uwzględnione przez organ prowadzący warunki znajdują się w treści niniejszej decyzji w pkt II lit. f-o.</w:t>
      </w:r>
    </w:p>
    <w:p w:rsidR="004F0025" w:rsidRDefault="00000000">
      <w:pPr>
        <w:pStyle w:val="Teksttreci0"/>
        <w:spacing w:line="302" w:lineRule="auto"/>
        <w:ind w:left="260" w:firstLine="360"/>
        <w:jc w:val="both"/>
      </w:pPr>
      <w:r>
        <w:t>Organ prowadzący postępowanie poprzez obwieszczenia: z dnia 16.11.2022 r., 16.12.2022 r. oraz 02.01.2023 r. zawiadomił strony postępowania, iż nie jest możliwe załatwienie przedmiotowej sprawy w ustawowym terminie, podając przyczyny zwłoki i wskazując nowy termin załatwienia sprawy.</w:t>
      </w:r>
    </w:p>
    <w:p w:rsidR="004F0025" w:rsidRDefault="00000000">
      <w:pPr>
        <w:pStyle w:val="Teksttreci0"/>
        <w:spacing w:line="302" w:lineRule="auto"/>
        <w:ind w:left="260" w:firstLine="360"/>
        <w:jc w:val="both"/>
      </w:pPr>
      <w:r>
        <w:t>W następstwie dokonania oceny zgromadzonej dokumentacji w sprawie oraz w związku z uzyskaniem opinii od wszystkich organów opiniujących, Burmistrz Gminy i Miasta Węgliniec obwieszczeniem znak IK.6220.6.6.2022.OŚ z dnia 02.01.2023 r. umieszczonym na tablicy ogłoszeń Urzędu Gminy i Miasta w Węglińcu, w Biuletynie Informacji Publicznej oraz na stronie internetowej Urzędu Gminy i Miasta w Węglińcu, zawiadomił strony o zakończeniu postępowania dowodowego i poinformował o możliwości wypowiedzenia się co do zebranych dowodów, materiałów oraz zgłoszonych żądań. W wyznaczonym terminie nie wpłynęły żadne uwagi i wnioski w sprawie. Wobec powyższego organ przystąpił do wydania decyzji o środowiskowych uwarunkowaniach dla przedmiotowego przedsięwzięcia.</w:t>
      </w:r>
    </w:p>
    <w:p w:rsidR="004F0025" w:rsidRDefault="00000000">
      <w:pPr>
        <w:pStyle w:val="Teksttreci0"/>
        <w:spacing w:line="302" w:lineRule="auto"/>
        <w:ind w:left="260" w:firstLine="740"/>
        <w:jc w:val="both"/>
      </w:pPr>
      <w:r>
        <w:t xml:space="preserve">Poddając wnikliwej analizie wniosek o wydanie decyzji o środowiskowych uwarunkowaniach wraz z kartą informacyjną przedsięwzięcia oraz biorąc pod uwagę uwarunkowania wymienione w art. 63 ust. 1 ustawy </w:t>
      </w:r>
      <w:proofErr w:type="spellStart"/>
      <w:r>
        <w:t>ooś</w:t>
      </w:r>
      <w:proofErr w:type="spellEnd"/>
      <w:r>
        <w:t xml:space="preserve"> organ prowadzący postępowanie ustalił co następuje.</w:t>
      </w:r>
    </w:p>
    <w:p w:rsidR="004F0025" w:rsidRDefault="00000000">
      <w:pPr>
        <w:pStyle w:val="Teksttreci0"/>
        <w:spacing w:line="302" w:lineRule="auto"/>
        <w:ind w:left="260" w:firstLine="740"/>
        <w:jc w:val="both"/>
      </w:pPr>
      <w:r>
        <w:t xml:space="preserve">Przedsięwzięcie kwalifikuje się do przedsięwzięć mogących potencjalnie znacząco oddziaływać na </w:t>
      </w:r>
      <w:r>
        <w:lastRenderedPageBreak/>
        <w:t>środowisko, wymienionych w § 3 ust. 1 pkt 54 lit. b rozporządzenia Rady Ministrów z dnia 10.09.2019 r. w sprawie przedsięwzięć mogących znacząco oddziaływać na środowisko, dla których obowiązek przeprowadzenia oceny oddziaływania przedsięwzięcia na środowisko może być wymagany.</w:t>
      </w:r>
    </w:p>
    <w:p w:rsidR="004F0025" w:rsidRDefault="00000000">
      <w:pPr>
        <w:pStyle w:val="Teksttreci0"/>
        <w:spacing w:line="302" w:lineRule="auto"/>
        <w:ind w:left="260" w:firstLine="740"/>
        <w:jc w:val="both"/>
      </w:pPr>
      <w:r>
        <w:t>Teren inwestycji objęty jest Miejscowym Planem Zagospodarowania Przestrzennego, przyjętym uchwałą nr 210/XVI/16 Rady Miejskiej w Węglińcu z dnia 23 lutego 2016 roku. Zgodnie z Miejscowym Planem Zagospodarowania Przestrzennego teren przedsięwzięcia przeznaczony jest pod tereny produkcyjno-usługowe (symbol 17.6P/E/U oraz 17.9P/E/U).</w:t>
      </w:r>
    </w:p>
    <w:p w:rsidR="004F0025" w:rsidRDefault="00000000">
      <w:pPr>
        <w:pStyle w:val="Teksttreci0"/>
        <w:spacing w:line="302" w:lineRule="auto"/>
        <w:ind w:left="260" w:firstLine="740"/>
        <w:jc w:val="both"/>
      </w:pPr>
      <w:r>
        <w:t xml:space="preserve">Przedmiotowa inwestycja polegać będzie na budowie farmy fotowoltaicznej o łącznej mocy do 3 </w:t>
      </w:r>
      <w:proofErr w:type="spellStart"/>
      <w:r>
        <w:t>MWp</w:t>
      </w:r>
      <w:proofErr w:type="spellEnd"/>
      <w:r>
        <w:t xml:space="preserve"> wraz z niezbędną infrastrukturą techniczną w miejscowości Czerwona Woda, na działkach nr: 1160, 1163, 1168, 1169, gmina Węgliniec, powiat zgorzelecki, woj. dolnośląskie.</w:t>
      </w:r>
    </w:p>
    <w:p w:rsidR="004F0025" w:rsidRDefault="00000000">
      <w:pPr>
        <w:pStyle w:val="Teksttreci0"/>
        <w:spacing w:line="302" w:lineRule="auto"/>
        <w:ind w:left="260" w:firstLine="20"/>
        <w:jc w:val="both"/>
      </w:pPr>
      <w:r>
        <w:t>Najbliższa zabudowa mieszkaniowa znajduje się w odległości ok. 350 m od planowanej inwestycji. Obszar planowanego przedsięwzięcia stanowią obecnie pastwiska trwałe.</w:t>
      </w:r>
    </w:p>
    <w:p w:rsidR="004F0025" w:rsidRDefault="00000000">
      <w:pPr>
        <w:pStyle w:val="Teksttreci0"/>
        <w:spacing w:line="302" w:lineRule="auto"/>
        <w:ind w:left="260" w:firstLine="20"/>
        <w:jc w:val="both"/>
      </w:pPr>
      <w:r>
        <w:t>Całkowita powierzchnia przeznaczona do przekształcenia wyniesie około 5,26 ha.</w:t>
      </w:r>
    </w:p>
    <w:p w:rsidR="004F0025" w:rsidRDefault="00000000">
      <w:pPr>
        <w:pStyle w:val="Teksttreci0"/>
        <w:spacing w:line="302" w:lineRule="auto"/>
        <w:ind w:left="260" w:firstLine="740"/>
        <w:jc w:val="both"/>
      </w:pPr>
      <w:r>
        <w:t>Powierzchnia zajmowana przez panele fotowoltaiczne i stację transformatorową wyniesie ok. 1,5 ha.</w:t>
      </w:r>
    </w:p>
    <w:p w:rsidR="004F0025" w:rsidRDefault="00000000">
      <w:pPr>
        <w:pStyle w:val="Teksttreci0"/>
        <w:spacing w:line="302" w:lineRule="auto"/>
        <w:ind w:firstLine="260"/>
        <w:jc w:val="both"/>
      </w:pPr>
      <w:r>
        <w:t>W ramach niniejszej inwestycji planuje się wykonanie następujących elementów:</w:t>
      </w:r>
    </w:p>
    <w:p w:rsidR="004F0025" w:rsidRDefault="00000000">
      <w:pPr>
        <w:pStyle w:val="Teksttreci0"/>
        <w:numPr>
          <w:ilvl w:val="0"/>
          <w:numId w:val="6"/>
        </w:numPr>
        <w:tabs>
          <w:tab w:val="left" w:pos="269"/>
        </w:tabs>
        <w:spacing w:line="302" w:lineRule="auto"/>
        <w:ind w:firstLine="0"/>
        <w:jc w:val="both"/>
      </w:pPr>
      <w:r>
        <w:t>modułów fotowoltaicznych,</w:t>
      </w:r>
    </w:p>
    <w:p w:rsidR="004F0025" w:rsidRDefault="00000000">
      <w:pPr>
        <w:pStyle w:val="Teksttreci0"/>
        <w:numPr>
          <w:ilvl w:val="0"/>
          <w:numId w:val="6"/>
        </w:numPr>
        <w:tabs>
          <w:tab w:val="left" w:pos="269"/>
        </w:tabs>
        <w:spacing w:line="302" w:lineRule="auto"/>
        <w:ind w:firstLine="0"/>
        <w:jc w:val="both"/>
      </w:pPr>
      <w:r>
        <w:t>falowników,</w:t>
      </w:r>
    </w:p>
    <w:p w:rsidR="004F0025" w:rsidRDefault="00000000">
      <w:pPr>
        <w:pStyle w:val="Teksttreci0"/>
        <w:numPr>
          <w:ilvl w:val="0"/>
          <w:numId w:val="6"/>
        </w:numPr>
        <w:tabs>
          <w:tab w:val="left" w:pos="269"/>
        </w:tabs>
        <w:spacing w:line="302" w:lineRule="auto"/>
        <w:ind w:firstLine="0"/>
        <w:jc w:val="both"/>
      </w:pPr>
      <w:r>
        <w:t>konstrukcji wsporczych,</w:t>
      </w:r>
    </w:p>
    <w:p w:rsidR="004F0025" w:rsidRDefault="00000000">
      <w:pPr>
        <w:pStyle w:val="Teksttreci0"/>
        <w:numPr>
          <w:ilvl w:val="0"/>
          <w:numId w:val="6"/>
        </w:numPr>
        <w:tabs>
          <w:tab w:val="left" w:pos="269"/>
        </w:tabs>
        <w:ind w:firstLine="0"/>
      </w:pPr>
      <w:r>
        <w:t>instalacji kablowych NN,</w:t>
      </w:r>
    </w:p>
    <w:p w:rsidR="004F0025" w:rsidRDefault="00000000">
      <w:pPr>
        <w:pStyle w:val="Teksttreci0"/>
        <w:numPr>
          <w:ilvl w:val="0"/>
          <w:numId w:val="6"/>
        </w:numPr>
        <w:tabs>
          <w:tab w:val="left" w:pos="269"/>
        </w:tabs>
        <w:ind w:firstLine="0"/>
      </w:pPr>
      <w:r>
        <w:t>systemów chłodzenia,</w:t>
      </w:r>
    </w:p>
    <w:p w:rsidR="004F0025" w:rsidRDefault="00000000">
      <w:pPr>
        <w:pStyle w:val="Teksttreci0"/>
        <w:numPr>
          <w:ilvl w:val="0"/>
          <w:numId w:val="6"/>
        </w:numPr>
        <w:tabs>
          <w:tab w:val="left" w:pos="269"/>
        </w:tabs>
        <w:ind w:firstLine="0"/>
      </w:pPr>
      <w:r>
        <w:t>stacji transformatorowych,</w:t>
      </w:r>
    </w:p>
    <w:p w:rsidR="004F0025" w:rsidRDefault="00000000">
      <w:pPr>
        <w:pStyle w:val="Teksttreci0"/>
        <w:numPr>
          <w:ilvl w:val="0"/>
          <w:numId w:val="6"/>
        </w:numPr>
        <w:tabs>
          <w:tab w:val="left" w:pos="269"/>
        </w:tabs>
        <w:ind w:firstLine="0"/>
      </w:pPr>
      <w:r>
        <w:t>infrastruktury towarzyszącej: ogrodzenie, drogi wewnętrzne.</w:t>
      </w:r>
    </w:p>
    <w:p w:rsidR="004F0025" w:rsidRDefault="00000000">
      <w:pPr>
        <w:pStyle w:val="Teksttreci0"/>
        <w:ind w:left="240" w:firstLine="720"/>
        <w:jc w:val="both"/>
      </w:pPr>
      <w:r>
        <w:t>Faza realizacji przedsięwzięcia związana będzie z wykonywaniem prac budowlano- montażowych, transportem materiałów budowlanych, itp. Na tym etapie wystąpią typowe, jak dla tego etapu uciążliwości, tj.: emisja do powietrza zanieczyszczeń gazowych i pyłowych, hałas pochodzący od poruszających się pojazdów, odpady budowlane, zagrożenie dla środowiska gruntowo - wodnego. Powyższe uciążliwości będą miały charakter lokalny i przejściowy. Prace wykonywane będą w godzinach od 6 do 22. Ścieki bytowe związane z funkcjonowaniem zaplecza budowy gromadzone będą w przenośnych sanitariatach i usuwane przez uprawnione podmioty. Odpady wytworzone na etapie realizacji inwestycji będą magazynowane zgodnie z wymogami, a następnie przekazywane uprawnionym podmiotom.</w:t>
      </w:r>
    </w:p>
    <w:p w:rsidR="004F0025" w:rsidRDefault="00000000">
      <w:pPr>
        <w:pStyle w:val="Teksttreci0"/>
        <w:ind w:left="240" w:firstLine="720"/>
        <w:jc w:val="both"/>
      </w:pPr>
      <w:r>
        <w:t>Na etapie realizacji przedsięwzięcia oddziaływanie na środowisko gruntowo-wodne będzie krótkotrwałe i ustanie wraz z zakończeniem prac. Ewentualne zagrożenie może powstać podczas niekontrolowanego zanieczyszczenia substancjami ropopochodnymi, pochodzącymi z awarii sprzętu używanego w trakcie realizacji inwestycji i ewentualnego przeniknięcia ich do warstwy wodonośnej.</w:t>
      </w:r>
    </w:p>
    <w:p w:rsidR="004F0025" w:rsidRDefault="00000000">
      <w:pPr>
        <w:pStyle w:val="Teksttreci0"/>
        <w:ind w:left="240" w:firstLine="720"/>
        <w:jc w:val="both"/>
      </w:pPr>
      <w:r>
        <w:t>W celu zminimalizowania ryzyka negatywnego oddziaływania prace będą prowadzone sprzętem sprawnym technicznie i spełniającym normy, nie powodującym wycieków substancji mogących skazić środowisko gruntowo-wodne. Teren budowy będzie wyposażony w środki do neutralizacji ewentualnego wycieku paliw lub innych substancji ropopochodnych. W razie stwierdzenia awarii prace z użyciem uszkodzonego sprzętu należy przerwać, a urządzenie do czasu odtransportowania do miejsca serwisowania należy umieścić na utwardzonej powierzchni. Wycieki płynów eksploatacyjnych powstałych wskutek awarii sprzętu należy gromadzić w szczelnych pojemnikach ustawionych pod maszynami. Zanieczyszczenie zostanie zneutralizowane za pomocą odpowiedniego sorbentu, za pośrednictwem wykwalifikowanej firmy, a następnie przekazane do unieszkodliwienia podmiotowi posiadającemu stosowne zezwolenia z zakresu gospodarowania odpadami. Zapobieganie zanieczyszczeniu powierzchni ziemi związane będzie głównie z taką organizacją placu budowy, aby na jego terenie i w okolicy nie pozostały resztki materiałów budowlanych, które mogą powodować zanieczyszczenie gruntu. Urządzenia i maszyny będą serwisowane poza terenem budowy. Stacje transformatorowe zostaną wyposażone w szczelne misy olejowe, które w razie awarii będą w stanie odebrać całość cieczy transformatorowej. Rozwiązanie to będzie chroniło środowisko przed przedostaniem się do niego ww. substancji ciekłych.</w:t>
      </w:r>
    </w:p>
    <w:p w:rsidR="004F0025" w:rsidRDefault="00000000">
      <w:pPr>
        <w:pStyle w:val="Teksttreci0"/>
        <w:ind w:left="240" w:firstLine="720"/>
        <w:jc w:val="both"/>
      </w:pPr>
      <w:r>
        <w:t xml:space="preserve">Na etapie eksploatacji przedsięwzięcia nie przewiduje się znaczącego negatywnego oddziaływania </w:t>
      </w:r>
      <w:r>
        <w:lastRenderedPageBreak/>
        <w:t>na środowisko. Emisja zanieczyszczeń do powietrza powodowana przez okresowy transport gotowych elementów, nie wpłynie na pogorszenie istniejącego stanu środowiska. Na etapie eksploatacji elektrowni fotowoltaicznej powstawanie odpadów związane będzie z prowadzonymi pracami konserwacyjnymi, odpady te będą usuwane przez uprawnione podmioty. Funkcjonowanie elektrowni nie powinno powodować nadmiernej emisji hałasu oraz pola elektromagnetycznego, przedsięwzięcie zlokalizowane jest poza obszarami zabudowy mieszkaniowej.</w:t>
      </w:r>
    </w:p>
    <w:p w:rsidR="004F0025" w:rsidRDefault="00000000">
      <w:pPr>
        <w:pStyle w:val="Teksttreci0"/>
        <w:ind w:left="240" w:firstLine="720"/>
        <w:jc w:val="both"/>
      </w:pPr>
      <w:r>
        <w:t>W trakcie realizacji inwestycji powstawać będą jedynie ścieki bytowe, które będą gromadzone w przenośnych systemach toaletowych i systematycznie wywożone przez uprawnione podmioty. Woda wykorzystywana do celów bytowych dostarczana będzie w zbiornikach toalet przenośnych. Podczas prowadzenia prac budowlanych nie będą powstawały ścieki przemysłowe. Eksploatacja inwestycji nie będzie wiązała się z powstaniem ścieków bytowych i przemysłowych.</w:t>
      </w:r>
    </w:p>
    <w:p w:rsidR="004F0025" w:rsidRDefault="00000000">
      <w:pPr>
        <w:pStyle w:val="Teksttreci0"/>
        <w:ind w:firstLine="720"/>
        <w:jc w:val="both"/>
      </w:pPr>
      <w:r>
        <w:t>Zakłada się, iż opady atmosferyczne zapewnią odpowiedni stopień czystości instalacji. W przypadku, gdy zaistnieje konieczność mycia paneli, wykorzystana zostanie do tego woda zdemineralizowana bez dodatku detergentów. Wody opadowe i roztopowe odprowadzane będą w sposób niezorganizowany do gruntu w granicach działki, bez powodowania oddziaływania na tereny sąsiednie.</w:t>
      </w:r>
    </w:p>
    <w:p w:rsidR="004F0025" w:rsidRDefault="00000000">
      <w:pPr>
        <w:pStyle w:val="Teksttreci0"/>
        <w:ind w:firstLine="720"/>
        <w:jc w:val="both"/>
      </w:pPr>
      <w:r>
        <w:t>Obowiązek odpowiedniego gospodarowania odpadami w trakcie realizacji inwestycji będzie ciążył na wykonawcy robót, jako wytwórcy odpadów. Odpady powstające w trakcie realizacji inwestycji będą gromadzone selektywnie w pojemnikach i kontenerach w specjalnie wyznaczonym miejscu, a następnie przekazywane uprawnionym podmiotom posiadającym zezwolenia w zakresie odbioru i gospodarowania odpadami. Odpady niebezpieczne należy magazynować w zamkniętych, szczelnych i oznakowanych pojemnikach lub kontenerach, odpornych na działanie składników umieszczonych w nich odpadów zlokalizowanych w wyznaczonym miejscu o utwardzonym podłożu, zabezpieczonym przed wpływem warunków atmosferycznych i przed dostępem osób nieupoważnionych, a następnie przekazywać uprawnionym odbiorcom. W trakcie eksploatacji inwestycji, w przypadku prowadzenia prac serwisowych odpady będą usuwane z terenu przedsięwzięcia przez podmioty świadczące usługi konserwacyjne i remontowe.</w:t>
      </w:r>
    </w:p>
    <w:p w:rsidR="004F0025" w:rsidRDefault="00000000">
      <w:pPr>
        <w:pStyle w:val="Teksttreci0"/>
        <w:ind w:firstLine="720"/>
        <w:jc w:val="both"/>
      </w:pPr>
      <w:r>
        <w:t>Etap realizacji i eksploatacji przedsięwzięcia nie powinien stanowić ryzyka wystąpienia poważnej awarii lub katastrofy naturalnej. Planowane przedsięwzięcie, na etapie realizacji nie powinno wpłynąć znacząco na zmiany klimatu.</w:t>
      </w:r>
    </w:p>
    <w:p w:rsidR="004F0025" w:rsidRDefault="00000000">
      <w:pPr>
        <w:pStyle w:val="Teksttreci0"/>
        <w:ind w:firstLine="720"/>
        <w:jc w:val="both"/>
      </w:pPr>
      <w:r>
        <w:t xml:space="preserve">Projektowana inwestycja zlokalizowana jest w granicach jednostki planistycznej gospodarowania wodami - jednolitej części wód powierzchniowych (JCWP) - Czerna Mała do Czernicy o kodzie PLRW600018168679. Zgodnie z zapisami Planu gospodarowania wodami na obszarze dorzecza Odry (Dz. U. z 2016 r. poz. 1967) JCWP - Czerna Mała do Czernicy o kodzie PLRW600018168679 została oceniona jako silnie zmieniona o złym stanie, zagrożona nieosiągnięciem celu środowiskowego, jakim jest dobry potencjał ekologiczny i dobry stan chemiczny. Przedmiotowy obszar znajduje się w obrębie </w:t>
      </w:r>
      <w:proofErr w:type="spellStart"/>
      <w:r>
        <w:t>JCWPd</w:t>
      </w:r>
      <w:proofErr w:type="spellEnd"/>
      <w:r>
        <w:t xml:space="preserve"> nr 77 o kodzie PLGW600077, która charakteryzuje się dobrym stanem ilościowym i dobrym stanem chemicznym. </w:t>
      </w:r>
      <w:proofErr w:type="spellStart"/>
      <w:r>
        <w:t>JCWPd</w:t>
      </w:r>
      <w:proofErr w:type="spellEnd"/>
      <w:r>
        <w:t xml:space="preserve"> została oceniona jako niezagrożona nieosiągnięciem celu środowiskowego, jakim jest dobry stan ilościowy i chemiczny. Inwestycja znajduje się w obrębie Głównego Zbiornika Wód Podziemnych (GZWP) nr 317 Niecka </w:t>
      </w:r>
      <w:proofErr w:type="spellStart"/>
      <w:r>
        <w:t>zewnętrznosudecka</w:t>
      </w:r>
      <w:proofErr w:type="spellEnd"/>
      <w:r>
        <w:t xml:space="preserve"> Bolesławiec lecz nie będzie oddziaływała na ww. GZWP. Przedsięwzięcie nie znajduje się na obszarze narażonym na niebezpieczeństwo powodzi.</w:t>
      </w:r>
    </w:p>
    <w:p w:rsidR="004F0025" w:rsidRDefault="00000000">
      <w:pPr>
        <w:pStyle w:val="Teksttreci0"/>
        <w:ind w:firstLine="720"/>
        <w:jc w:val="both"/>
      </w:pPr>
      <w:r>
        <w:t xml:space="preserve">Po przeanalizowaniu możliwości oddziaływania przedmiotowego przedsięwzięcia w zakresie aspektów przyrodniczych stwierdzić należy, że w zasięgu oddziaływania planowanego przedsięwzięcia nie występują obszary leśne, obszary górskie, obszary przylegające do jezior, obszary wodno-błotne i obszary wymagające specjalnej ochrony ze względu na występowanie gatunków roślin i zwierząt lub ich siedlisk lub siedlisk przyrodniczych objętych ochroną, w tym obszary Natura 2000 oraz pozostałe formy ochrony przyrody - w rozumieniu art. 6 ust. 1 </w:t>
      </w:r>
      <w:r>
        <w:rPr>
          <w:i/>
          <w:iCs/>
        </w:rPr>
        <w:t>ustawy z dnia 16.04.2004 r. o ochronie przyrody (</w:t>
      </w:r>
      <w:proofErr w:type="spellStart"/>
      <w:r>
        <w:rPr>
          <w:i/>
          <w:iCs/>
        </w:rPr>
        <w:t>t.j</w:t>
      </w:r>
      <w:proofErr w:type="spellEnd"/>
      <w:r>
        <w:rPr>
          <w:i/>
          <w:iCs/>
        </w:rPr>
        <w:t>. Dz. U. z 2022 r., poz. 916 ze zm.).</w:t>
      </w:r>
      <w:r>
        <w:t xml:space="preserve"> Najbliżej położony obszar Natura 2000 tj. obszar specjalnej ochrony ptaków Bory Dolnośląskie (PLB020005) znajduje się w odległości ok. 2,7 km. Inwestycja zlokalizowana jest w granicach korytarza ekologicznego Sudety - Bory Dolnośląskie, zachodni GKZ-5A.</w:t>
      </w:r>
    </w:p>
    <w:p w:rsidR="004F0025" w:rsidRDefault="00000000">
      <w:pPr>
        <w:pStyle w:val="Teksttreci0"/>
        <w:spacing w:line="302" w:lineRule="auto"/>
        <w:ind w:firstLine="700"/>
        <w:jc w:val="both"/>
      </w:pPr>
      <w:r>
        <w:t xml:space="preserve">Po przeanalizowaniu przedłożonej dokumentacji stwierdzono, że przy uwzględnieniu warunków określonych w rozstrzygnięciu niniejszej decyzji, przedsięwzięcie nie będzie wywierać znaczącego wpływu </w:t>
      </w:r>
      <w:r>
        <w:lastRenderedPageBreak/>
        <w:t>na środowisko przyrodnicze, w tym na krajobraz oraz obszary Natura 2000, oraz różnorodność biologiczną i ww. korytarz ekologiczny.</w:t>
      </w:r>
    </w:p>
    <w:p w:rsidR="004F0025" w:rsidRDefault="00000000">
      <w:pPr>
        <w:pStyle w:val="Teksttreci0"/>
        <w:spacing w:line="302" w:lineRule="auto"/>
        <w:ind w:firstLine="700"/>
        <w:jc w:val="both"/>
      </w:pPr>
      <w:r>
        <w:t xml:space="preserve">Prawie wszystkie gatunki ptaków przebywające na terytorium Polski podlegają ochronie gatunkowej w myśl </w:t>
      </w:r>
      <w:r>
        <w:rPr>
          <w:i/>
          <w:iCs/>
        </w:rPr>
        <w:t>rozporządzenia Ministra Środowiska z dnia 16.12.2016 r. w sprawie ochrony gatunkowej zwierząt (</w:t>
      </w:r>
      <w:proofErr w:type="spellStart"/>
      <w:r>
        <w:rPr>
          <w:i/>
          <w:iCs/>
        </w:rPr>
        <w:t>t.j</w:t>
      </w:r>
      <w:proofErr w:type="spellEnd"/>
      <w:r>
        <w:rPr>
          <w:i/>
          <w:iCs/>
        </w:rPr>
        <w:t>. Dz. U. z 2022 r. poz. 2380),</w:t>
      </w:r>
      <w:r>
        <w:t xml:space="preserve"> w stosunku do których obowiązują określone zakazy, m.in. umyślnego niszczenia gniazd, niszczenia siedlisk lub ostoi, będących ich obszarem rozrodu, wychowu młodych, odpoczynku, migracji lub żerowania. W związku z powyższym nałożono warunek punktu II </w:t>
      </w:r>
      <w:proofErr w:type="spellStart"/>
      <w:r>
        <w:t>lit.f</w:t>
      </w:r>
      <w:proofErr w:type="spellEnd"/>
      <w:r>
        <w:t xml:space="preserve">, aby zminimalizować negatywne oddziaływania związane z wykonywaniem wycinki drzew na ptaki w trakcie okresu rozrodczego. W przypadku konieczności wykonania wycinki przedmiotowych drzew i krzewów we wskazanym terminie, tj. od 1 marca do 15 sierpnia, w sytuacji gdy nadzór stwierdzi lęgi ptaków, Inwestor winien uzyskać zezwolenie właściwego organu w trybie art. 56 </w:t>
      </w:r>
      <w:r>
        <w:rPr>
          <w:i/>
          <w:iCs/>
        </w:rPr>
        <w:t>ustawy o ochronie przyrody</w:t>
      </w:r>
      <w:r>
        <w:t xml:space="preserve"> na czynności zakazane w stosunku do gatunków chronionych (m.in. zakaz usuwania gniazd) i wstrzymać wycinkę do czasu zakończenia rozrodu (co również winno zostać potwierdzone przez ornitologa). Natomiast warunek punktu II </w:t>
      </w:r>
      <w:proofErr w:type="spellStart"/>
      <w:r>
        <w:t>lit.g</w:t>
      </w:r>
      <w:proofErr w:type="spellEnd"/>
      <w:r>
        <w:t xml:space="preserve"> nałożono w celu zminimalizowania ryzyka zniszczenia lęgów ptaków - gatunków chronionych na mocy </w:t>
      </w:r>
      <w:r>
        <w:rPr>
          <w:i/>
          <w:iCs/>
        </w:rPr>
        <w:t>rozporządzenia Ministra Środowiska z dnia 16.12.2016 r. w sprawie ochrony gatunkowej zwierząt,</w:t>
      </w:r>
      <w:r>
        <w:t xml:space="preserve"> zakładających gniazda na powierzchni ziemi, np. skowronka zwyczajnego </w:t>
      </w:r>
      <w:proofErr w:type="spellStart"/>
      <w:r>
        <w:rPr>
          <w:i/>
          <w:iCs/>
        </w:rPr>
        <w:t>Alauda</w:t>
      </w:r>
      <w:proofErr w:type="spellEnd"/>
      <w:r>
        <w:rPr>
          <w:i/>
          <w:iCs/>
        </w:rPr>
        <w:t xml:space="preserve"> </w:t>
      </w:r>
      <w:proofErr w:type="spellStart"/>
      <w:r>
        <w:rPr>
          <w:i/>
          <w:iCs/>
        </w:rPr>
        <w:t>arvensis</w:t>
      </w:r>
      <w:proofErr w:type="spellEnd"/>
      <w:r>
        <w:rPr>
          <w:i/>
          <w:iCs/>
        </w:rPr>
        <w:t>.</w:t>
      </w:r>
    </w:p>
    <w:p w:rsidR="004F0025" w:rsidRDefault="00000000">
      <w:pPr>
        <w:pStyle w:val="Teksttreci0"/>
        <w:spacing w:line="302" w:lineRule="auto"/>
        <w:ind w:firstLine="700"/>
        <w:jc w:val="both"/>
      </w:pPr>
      <w:r>
        <w:t xml:space="preserve">Z uwagi na fakt, iż poświata powodowana przez odbicie promieni świetlnych na powierzchni fotoogniw może mylić ptaki, nałożono warunek punktu II </w:t>
      </w:r>
      <w:proofErr w:type="spellStart"/>
      <w:r>
        <w:t>lit.h</w:t>
      </w:r>
      <w:proofErr w:type="spellEnd"/>
      <w:r>
        <w:t>.</w:t>
      </w:r>
    </w:p>
    <w:p w:rsidR="004F0025" w:rsidRDefault="00000000">
      <w:pPr>
        <w:pStyle w:val="Teksttreci0"/>
        <w:spacing w:line="302" w:lineRule="auto"/>
        <w:ind w:firstLine="700"/>
        <w:jc w:val="both"/>
      </w:pPr>
      <w:r>
        <w:t xml:space="preserve">W celu ograniczenia śmiertelności drobnych zwierząt, m.in. małych ssaków, płazów i gadów - gatunków objętych ochroną na mocy </w:t>
      </w:r>
      <w:r>
        <w:rPr>
          <w:i/>
          <w:iCs/>
        </w:rPr>
        <w:t>rozporządzenia Ministra Środowiska z dnia 16.12.2016 r. w sprawie ochrony gatunkowej zwierząt,</w:t>
      </w:r>
      <w:r>
        <w:t xml:space="preserve"> nałożono warunki punktów II </w:t>
      </w:r>
      <w:proofErr w:type="spellStart"/>
      <w:r>
        <w:t>lit.i</w:t>
      </w:r>
      <w:proofErr w:type="spellEnd"/>
      <w:r>
        <w:t xml:space="preserve"> - II </w:t>
      </w:r>
      <w:proofErr w:type="spellStart"/>
      <w:r>
        <w:t>lit.l</w:t>
      </w:r>
      <w:proofErr w:type="spellEnd"/>
      <w:r>
        <w:t>.</w:t>
      </w:r>
    </w:p>
    <w:p w:rsidR="004F0025" w:rsidRDefault="00000000">
      <w:pPr>
        <w:pStyle w:val="Teksttreci0"/>
        <w:spacing w:line="307" w:lineRule="auto"/>
        <w:ind w:firstLine="700"/>
        <w:jc w:val="both"/>
      </w:pPr>
      <w:r>
        <w:t xml:space="preserve">Zapis punktu II </w:t>
      </w:r>
      <w:proofErr w:type="spellStart"/>
      <w:r>
        <w:t>lit.ł</w:t>
      </w:r>
      <w:proofErr w:type="spellEnd"/>
      <w:r>
        <w:t xml:space="preserve"> umożliwi stworzenie dodatkowych miejsc schronień i kryjówek dla płazów i gadów objętych ochroną gatunkową w ww. myśl </w:t>
      </w:r>
      <w:r>
        <w:rPr>
          <w:i/>
          <w:iCs/>
        </w:rPr>
        <w:t>rozporządzenia Ministra Środowiska.</w:t>
      </w:r>
    </w:p>
    <w:p w:rsidR="004F0025" w:rsidRDefault="00000000">
      <w:pPr>
        <w:pStyle w:val="Teksttreci0"/>
        <w:spacing w:line="307" w:lineRule="auto"/>
        <w:ind w:firstLine="700"/>
        <w:jc w:val="both"/>
      </w:pPr>
      <w:r>
        <w:t xml:space="preserve">Warunek punktu II </w:t>
      </w:r>
      <w:proofErr w:type="spellStart"/>
      <w:r>
        <w:t>lit.m</w:t>
      </w:r>
      <w:proofErr w:type="spellEnd"/>
      <w:r>
        <w:t xml:space="preserve"> mają na celu utworzenie właściwych warunków siedliskowych (schronień, miejsc żerowania) dla owadów, w szczególności przedstawicieli rodziny pszczoło waty </w:t>
      </w:r>
      <w:proofErr w:type="spellStart"/>
      <w:r>
        <w:t>ch</w:t>
      </w:r>
      <w:proofErr w:type="spellEnd"/>
      <w:r>
        <w:t xml:space="preserve"> </w:t>
      </w:r>
      <w:proofErr w:type="spellStart"/>
      <w:r>
        <w:rPr>
          <w:i/>
          <w:iCs/>
        </w:rPr>
        <w:t>Apidae</w:t>
      </w:r>
      <w:proofErr w:type="spellEnd"/>
      <w:r>
        <w:rPr>
          <w:i/>
          <w:iCs/>
        </w:rPr>
        <w:t>,</w:t>
      </w:r>
      <w:r>
        <w:t xml:space="preserve"> objętych ochroną na mocy ww. </w:t>
      </w:r>
      <w:r>
        <w:rPr>
          <w:i/>
          <w:iCs/>
        </w:rPr>
        <w:t>rozporządzenia Ministra Środowiska z dnia 16 grudnia 2016 r. w sprawie ochrony gatunkowej zwierząt</w:t>
      </w:r>
      <w:r>
        <w:t xml:space="preserve"> oraz zwiększenie lokalnej różnorodności biologicznej.</w:t>
      </w:r>
    </w:p>
    <w:p w:rsidR="004F0025" w:rsidRDefault="00000000">
      <w:pPr>
        <w:pStyle w:val="Teksttreci0"/>
        <w:spacing w:line="307" w:lineRule="auto"/>
        <w:ind w:firstLine="700"/>
        <w:jc w:val="both"/>
      </w:pPr>
      <w:r>
        <w:t xml:space="preserve">Warunek punktu II </w:t>
      </w:r>
      <w:proofErr w:type="spellStart"/>
      <w:r>
        <w:t>lit.n</w:t>
      </w:r>
      <w:proofErr w:type="spellEnd"/>
      <w:r>
        <w:t xml:space="preserve"> nałożono w celu utworzenia terenów zielonych w obrębie inwestycji oraz niedopuszczenia do wprowadzenia do środowiska naturalnego i rozprzestrzeniania się w nim obcych gatunków roślin ani gatunków ekspansywnych, które mogłyby obniżać różnorodność biologiczną tych terenów.</w:t>
      </w:r>
    </w:p>
    <w:p w:rsidR="004F0025" w:rsidRDefault="00000000">
      <w:pPr>
        <w:pStyle w:val="Teksttreci0"/>
        <w:spacing w:line="307" w:lineRule="auto"/>
        <w:ind w:firstLine="700"/>
        <w:jc w:val="both"/>
      </w:pPr>
      <w:r>
        <w:t xml:space="preserve">Termin wykonywania koszenia wskazany w punkcie II </w:t>
      </w:r>
      <w:proofErr w:type="spellStart"/>
      <w:r>
        <w:t>lit.o</w:t>
      </w:r>
      <w:proofErr w:type="spellEnd"/>
      <w:r>
        <w:t xml:space="preserve"> umożliwić ma ukończenie cyklu rozwojowego roślin oraz utrzymanie siedlisk zwierząt, zwłaszcza ptaków w okresie ich rozrodu.</w:t>
      </w:r>
    </w:p>
    <w:p w:rsidR="004F0025" w:rsidRDefault="00000000">
      <w:pPr>
        <w:pStyle w:val="Teksttreci0"/>
        <w:spacing w:line="307" w:lineRule="auto"/>
        <w:ind w:firstLine="700"/>
        <w:jc w:val="both"/>
      </w:pPr>
      <w:r>
        <w:t xml:space="preserve">W przypadku niemożliwych do uniknięcia kolizji ze stanowiskami zwierząt, roślin lub grzybów gatunków chronionych na mocy </w:t>
      </w:r>
      <w:r>
        <w:rPr>
          <w:i/>
          <w:iCs/>
        </w:rPr>
        <w:t>rozporządzeń Ministra Środowiska: z dnia 16.12.2016r.w sprawie ochrony gatunkowej zwierząt, z dnia 09.10.2014 r. w sprawie ochrony gatunkowej roślin (Dz. U., poz. 1409),</w:t>
      </w:r>
      <w:r>
        <w:t xml:space="preserve"> oraz z </w:t>
      </w:r>
      <w:r>
        <w:rPr>
          <w:i/>
          <w:iCs/>
        </w:rPr>
        <w:t>dnia 09.10.2014 r. w sprawie ochrony gatunkowej grzybów (Dz. U., poz. 1408),</w:t>
      </w:r>
      <w:r>
        <w:t xml:space="preserve"> w stosunku do których obowiązują zakazy określone w ww.</w:t>
      </w:r>
      <w:r>
        <w:br w:type="page"/>
      </w:r>
      <w:r>
        <w:lastRenderedPageBreak/>
        <w:t xml:space="preserve">rozporządzeniach, przed rozpoczęciem prac należy uzyskać odrębne zezwolenie właściwego organu na czynności zakazane w stosunku do tych gatunków, zgodnie z art. 56 </w:t>
      </w:r>
      <w:r>
        <w:rPr>
          <w:i/>
          <w:iCs/>
        </w:rPr>
        <w:t>ustawy z dnia 16.04.2004 r. o ochronie przyrody,</w:t>
      </w:r>
      <w:r>
        <w:t xml:space="preserve"> a w przypadku uzyskania takiego zezwolenia - prace prowadzić z uwzględnieniem warunków wynikających z zezwolenia.</w:t>
      </w:r>
    </w:p>
    <w:p w:rsidR="004F0025" w:rsidRDefault="00000000">
      <w:pPr>
        <w:pStyle w:val="Teksttreci0"/>
        <w:spacing w:line="307" w:lineRule="auto"/>
        <w:ind w:firstLine="720"/>
        <w:jc w:val="both"/>
      </w:pPr>
      <w:r>
        <w:t>Lokalizacja, rodzaj i parametry planowanej inwestycji oraz jej odległość od granic Rzeczpospolitej Polskiej eliminują możliwość transgranicznego oddziaływania na środowisko.</w:t>
      </w:r>
    </w:p>
    <w:p w:rsidR="004F0025" w:rsidRDefault="00000000">
      <w:pPr>
        <w:pStyle w:val="Teksttreci0"/>
        <w:spacing w:after="260" w:line="307" w:lineRule="auto"/>
        <w:ind w:firstLine="720"/>
        <w:jc w:val="both"/>
      </w:pPr>
      <w:r>
        <w:t xml:space="preserve">Mając na uwadze wskazane powyżej uwarunkowania oraz poddając szczegółowej analizie przedłożoną przez Inwestora dokumentację w tym w szczególności wniosek o wydanie decyzji o środowiskowych uwarunkowaniach wraz z kartą informacyjną przedsięwzięcia, biorąc pod uwagę opinię organów współdziałających oraz uwzględniając uwarunkowania wyrażone w art. 63 </w:t>
      </w:r>
      <w:proofErr w:type="spellStart"/>
      <w:r>
        <w:t>ust.l</w:t>
      </w:r>
      <w:proofErr w:type="spellEnd"/>
      <w:r>
        <w:t xml:space="preserve"> ustawy z dnia 03.10.2008 r. </w:t>
      </w:r>
      <w:proofErr w:type="spellStart"/>
      <w:r>
        <w:t>ooś</w:t>
      </w:r>
      <w:proofErr w:type="spellEnd"/>
      <w:r>
        <w:t>, których analizę przedstawiono w uzasadnieniu przedmiotowej decyzji, stwierdzono brak obowiązku przeprowadzenia oceny oddziaływania przedmiotowego przedsięwzięcia na środowisko.</w:t>
      </w:r>
    </w:p>
    <w:p w:rsidR="004F0025" w:rsidRDefault="00000000">
      <w:pPr>
        <w:pStyle w:val="Teksttreci0"/>
        <w:spacing w:after="320" w:line="240" w:lineRule="auto"/>
        <w:ind w:firstLine="0"/>
        <w:jc w:val="center"/>
        <w:rPr>
          <w:sz w:val="24"/>
          <w:szCs w:val="24"/>
        </w:rPr>
      </w:pPr>
      <w:r>
        <w:rPr>
          <w:b/>
          <w:bCs/>
          <w:sz w:val="24"/>
          <w:szCs w:val="24"/>
        </w:rPr>
        <w:t>W związku z powyższym orzeczono jak w sentencji</w:t>
      </w:r>
    </w:p>
    <w:p w:rsidR="004F0025" w:rsidRDefault="00000000">
      <w:pPr>
        <w:pStyle w:val="Teksttreci0"/>
        <w:spacing w:after="260" w:line="240" w:lineRule="auto"/>
        <w:ind w:firstLine="0"/>
        <w:jc w:val="center"/>
        <w:rPr>
          <w:sz w:val="24"/>
          <w:szCs w:val="24"/>
        </w:rPr>
      </w:pPr>
      <w:r>
        <w:rPr>
          <w:b/>
          <w:bCs/>
          <w:sz w:val="24"/>
          <w:szCs w:val="24"/>
        </w:rPr>
        <w:t>POUCZENIE</w:t>
      </w:r>
    </w:p>
    <w:p w:rsidR="004F0025" w:rsidRDefault="00000000">
      <w:pPr>
        <w:pStyle w:val="Teksttreci0"/>
        <w:spacing w:line="302" w:lineRule="auto"/>
        <w:ind w:firstLine="720"/>
        <w:jc w:val="both"/>
      </w:pPr>
      <w:r>
        <w:t>Od niniejszej decyzji służy odwołanie do Samorządowego Kolegium Odwoławczego za pośrednictwem Burmistrza Gminy i Miasta Węgliniec w terminie 14 dni od daty jej doręczenia.</w:t>
      </w:r>
    </w:p>
    <w:p w:rsidR="004F0025" w:rsidRDefault="00000000">
      <w:pPr>
        <w:pStyle w:val="Teksttreci0"/>
        <w:spacing w:after="1860" w:line="302" w:lineRule="auto"/>
        <w:ind w:firstLine="720"/>
        <w:jc w:val="both"/>
      </w:pPr>
      <w:r>
        <w:t>Od przedmiotowej decyzji służy prawo do zrzeczenia się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rsidR="004F0025" w:rsidRDefault="00000000">
      <w:pPr>
        <w:pStyle w:val="Teksttreci0"/>
        <w:spacing w:after="40" w:line="240" w:lineRule="auto"/>
        <w:ind w:firstLine="0"/>
        <w:rPr>
          <w:sz w:val="20"/>
          <w:szCs w:val="20"/>
        </w:rPr>
      </w:pPr>
      <w:r>
        <w:rPr>
          <w:sz w:val="20"/>
          <w:szCs w:val="20"/>
          <w:u w:val="single"/>
        </w:rPr>
        <w:t>Otrzymują:</w:t>
      </w:r>
    </w:p>
    <w:p w:rsidR="004F0025" w:rsidRDefault="00000000">
      <w:pPr>
        <w:pStyle w:val="Teksttreci0"/>
        <w:numPr>
          <w:ilvl w:val="0"/>
          <w:numId w:val="7"/>
        </w:numPr>
        <w:tabs>
          <w:tab w:val="left" w:pos="336"/>
        </w:tabs>
        <w:spacing w:after="40" w:line="240" w:lineRule="auto"/>
        <w:ind w:firstLine="0"/>
        <w:rPr>
          <w:sz w:val="20"/>
          <w:szCs w:val="20"/>
        </w:rPr>
      </w:pPr>
      <w:r>
        <w:rPr>
          <w:sz w:val="20"/>
          <w:szCs w:val="20"/>
        </w:rPr>
        <w:t>Inwestor</w:t>
      </w:r>
    </w:p>
    <w:p w:rsidR="004F0025" w:rsidRDefault="00000000">
      <w:pPr>
        <w:pStyle w:val="Teksttreci0"/>
        <w:numPr>
          <w:ilvl w:val="0"/>
          <w:numId w:val="7"/>
        </w:numPr>
        <w:tabs>
          <w:tab w:val="left" w:pos="336"/>
        </w:tabs>
        <w:spacing w:after="40" w:line="240" w:lineRule="auto"/>
        <w:ind w:firstLine="0"/>
        <w:rPr>
          <w:sz w:val="20"/>
          <w:szCs w:val="20"/>
        </w:rPr>
      </w:pPr>
      <w:r>
        <w:rPr>
          <w:sz w:val="20"/>
          <w:szCs w:val="20"/>
        </w:rPr>
        <w:t>Strony postępowania</w:t>
      </w:r>
    </w:p>
    <w:p w:rsidR="004F0025" w:rsidRDefault="00000000">
      <w:pPr>
        <w:pStyle w:val="Teksttreci0"/>
        <w:spacing w:after="40" w:line="240" w:lineRule="auto"/>
        <w:ind w:firstLine="360"/>
        <w:jc w:val="both"/>
        <w:rPr>
          <w:sz w:val="20"/>
          <w:szCs w:val="20"/>
        </w:rPr>
      </w:pPr>
      <w:r>
        <w:rPr>
          <w:sz w:val="20"/>
          <w:szCs w:val="20"/>
        </w:rPr>
        <w:t xml:space="preserve">zawiadamiane w trybie art. 49 </w:t>
      </w:r>
      <w:proofErr w:type="spellStart"/>
      <w:r>
        <w:rPr>
          <w:sz w:val="20"/>
          <w:szCs w:val="20"/>
        </w:rPr>
        <w:t>k.p.a</w:t>
      </w:r>
      <w:proofErr w:type="spellEnd"/>
    </w:p>
    <w:p w:rsidR="004F0025" w:rsidRDefault="00000000">
      <w:pPr>
        <w:pStyle w:val="Teksttreci0"/>
        <w:numPr>
          <w:ilvl w:val="0"/>
          <w:numId w:val="7"/>
        </w:numPr>
        <w:tabs>
          <w:tab w:val="left" w:pos="336"/>
        </w:tabs>
        <w:spacing w:after="320" w:line="240" w:lineRule="auto"/>
        <w:ind w:firstLine="0"/>
        <w:rPr>
          <w:sz w:val="20"/>
          <w:szCs w:val="20"/>
        </w:rPr>
      </w:pPr>
      <w:r>
        <w:rPr>
          <w:sz w:val="20"/>
          <w:szCs w:val="20"/>
        </w:rPr>
        <w:t>aa</w:t>
      </w:r>
    </w:p>
    <w:p w:rsidR="004F0025" w:rsidRDefault="00000000">
      <w:pPr>
        <w:pStyle w:val="Teksttreci0"/>
        <w:spacing w:after="40" w:line="240" w:lineRule="auto"/>
        <w:ind w:firstLine="0"/>
        <w:rPr>
          <w:sz w:val="20"/>
          <w:szCs w:val="20"/>
        </w:rPr>
      </w:pPr>
      <w:r>
        <w:rPr>
          <w:sz w:val="20"/>
          <w:szCs w:val="20"/>
          <w:u w:val="single"/>
        </w:rPr>
        <w:t>Do wiadomości:</w:t>
      </w:r>
    </w:p>
    <w:p w:rsidR="004F0025" w:rsidRDefault="00000000">
      <w:pPr>
        <w:pStyle w:val="Teksttreci0"/>
        <w:spacing w:after="160" w:line="240" w:lineRule="auto"/>
        <w:ind w:firstLine="0"/>
        <w:rPr>
          <w:sz w:val="20"/>
          <w:szCs w:val="20"/>
        </w:rPr>
      </w:pPr>
      <w:r>
        <w:rPr>
          <w:sz w:val="20"/>
          <w:szCs w:val="20"/>
        </w:rPr>
        <w:t>1. Organy opiniujące</w:t>
      </w:r>
    </w:p>
    <w:p w:rsidR="004F0025" w:rsidRDefault="00000000">
      <w:pPr>
        <w:spacing w:line="1" w:lineRule="exact"/>
        <w:sectPr w:rsidR="004F0025">
          <w:footerReference w:type="even" r:id="rId7"/>
          <w:footerReference w:type="default" r:id="rId8"/>
          <w:footerReference w:type="first" r:id="rId9"/>
          <w:pgSz w:w="11900" w:h="16840"/>
          <w:pgMar w:top="24" w:right="1203" w:bottom="391" w:left="1034" w:header="0" w:footer="3" w:gutter="0"/>
          <w:pgNumType w:start="1"/>
          <w:cols w:space="720"/>
          <w:noEndnote/>
          <w:titlePg/>
          <w:docGrid w:linePitch="360"/>
        </w:sectPr>
      </w:pPr>
      <w:r>
        <w:rPr>
          <w:noProof/>
        </w:rPr>
        <mc:AlternateContent>
          <mc:Choice Requires="wps">
            <w:drawing>
              <wp:anchor distT="990600" distB="365760" distL="0" distR="0" simplePos="0" relativeHeight="125829381" behindDoc="0" locked="0" layoutInCell="1" allowOverlap="1">
                <wp:simplePos x="0" y="0"/>
                <wp:positionH relativeFrom="page">
                  <wp:posOffset>810895</wp:posOffset>
                </wp:positionH>
                <wp:positionV relativeFrom="paragraph">
                  <wp:posOffset>990600</wp:posOffset>
                </wp:positionV>
                <wp:extent cx="1085215" cy="38735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1085215" cy="387350"/>
                        </a:xfrm>
                        <a:prstGeom prst="rect">
                          <a:avLst/>
                        </a:prstGeom>
                        <a:noFill/>
                      </wps:spPr>
                      <wps:txbx>
                        <w:txbxContent>
                          <w:p w:rsidR="004F0025" w:rsidRDefault="00000000">
                            <w:pPr>
                              <w:pStyle w:val="Teksttreci20"/>
                            </w:pPr>
                            <w:r>
                              <w:t>Sporządziła:</w:t>
                            </w:r>
                          </w:p>
                          <w:p w:rsidR="004F0025" w:rsidRDefault="00000000">
                            <w:pPr>
                              <w:pStyle w:val="Teksttreci20"/>
                            </w:pPr>
                            <w:r>
                              <w:t>Magdalena Nowakowska</w:t>
                            </w:r>
                          </w:p>
                          <w:p w:rsidR="004F0025" w:rsidRDefault="00000000">
                            <w:pPr>
                              <w:pStyle w:val="Teksttreci20"/>
                            </w:pPr>
                            <w:r>
                              <w:rPr>
                                <w:lang w:val="en-US" w:eastAsia="en-US" w:bidi="en-US"/>
                              </w:rPr>
                              <w:t>Tel.75-77-ll-435wew.53</w:t>
                            </w:r>
                          </w:p>
                        </w:txbxContent>
                      </wps:txbx>
                      <wps:bodyPr lIns="0" tIns="0" rIns="0" bIns="0"/>
                    </wps:wsp>
                  </a:graphicData>
                </a:graphic>
              </wp:anchor>
            </w:drawing>
          </mc:Choice>
          <mc:Fallback>
            <w:pict>
              <v:shape id="Shape 9" o:spid="_x0000_s1027" type="#_x0000_t202" style="position:absolute;margin-left:63.85pt;margin-top:78pt;width:85.45pt;height:30.5pt;z-index:125829381;visibility:visible;mso-wrap-style:square;mso-wrap-distance-left:0;mso-wrap-distance-top:78pt;mso-wrap-distance-right:0;mso-wrap-distance-bottom:28.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" filled="f" stroked="f">
                <v:textbox inset="0,0,0,0">
                  <w:txbxContent>
                    <w:p w:rsidR="004F0025" w:rsidRDefault="00000000">
                      <w:pPr>
                        <w:pStyle w:val="Teksttreci20"/>
                      </w:pPr>
                      <w:r>
                        <w:t>Sporządziła:</w:t>
                      </w:r>
                    </w:p>
                    <w:p w:rsidR="004F0025" w:rsidRDefault="00000000">
                      <w:pPr>
                        <w:pStyle w:val="Teksttreci20"/>
                      </w:pPr>
                      <w:r>
                        <w:t>Magdalena Nowakowska</w:t>
                      </w:r>
                    </w:p>
                    <w:p w:rsidR="004F0025" w:rsidRDefault="00000000">
                      <w:pPr>
                        <w:pStyle w:val="Teksttreci20"/>
                      </w:pPr>
                      <w:r>
                        <w:rPr>
                          <w:lang w:val="en-US" w:eastAsia="en-US" w:bidi="en-US"/>
                        </w:rPr>
                        <w:t>Tel.75-77-ll-435wew.53</w:t>
                      </w:r>
                    </w:p>
                  </w:txbxContent>
                </v:textbox>
                <w10:wrap type="topAndBottom" anchorx="page"/>
              </v:shape>
            </w:pict>
          </mc:Fallback>
        </mc:AlternateContent>
      </w:r>
      <w:r>
        <w:rPr>
          <w:noProof/>
        </w:rPr>
        <mc:AlternateContent>
          <mc:Choice Requires="wps">
            <w:drawing>
              <wp:anchor distT="1325880" distB="0" distL="0" distR="0" simplePos="0" relativeHeight="125829383" behindDoc="0" locked="0" layoutInCell="1" allowOverlap="1">
                <wp:simplePos x="0" y="0"/>
                <wp:positionH relativeFrom="page">
                  <wp:posOffset>2707005</wp:posOffset>
                </wp:positionH>
                <wp:positionV relativeFrom="paragraph">
                  <wp:posOffset>1325880</wp:posOffset>
                </wp:positionV>
                <wp:extent cx="1146175" cy="417830"/>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1146175" cy="417830"/>
                        </a:xfrm>
                        <a:prstGeom prst="rect">
                          <a:avLst/>
                        </a:prstGeom>
                        <a:noFill/>
                      </wps:spPr>
                      <wps:txbx>
                        <w:txbxContent>
                          <w:p w:rsidR="004F0025" w:rsidRDefault="00000000">
                            <w:pPr>
                              <w:pStyle w:val="Teksttreci0"/>
                              <w:ind w:firstLine="0"/>
                              <w:jc w:val="center"/>
                              <w:rPr>
                                <w:sz w:val="20"/>
                                <w:szCs w:val="20"/>
                              </w:rPr>
                            </w:pPr>
                            <w:r>
                              <w:rPr>
                                <w:i/>
                                <w:iCs/>
                              </w:rPr>
                              <w:t>Ma</w:t>
                            </w:r>
                            <w:r w:rsidR="000673C9">
                              <w:rPr>
                                <w:i/>
                                <w:iCs/>
                              </w:rPr>
                              <w:t>ł</w:t>
                            </w:r>
                            <w:r>
                              <w:rPr>
                                <w:i/>
                                <w:iCs/>
                              </w:rPr>
                              <w:t>gor</w:t>
                            </w:r>
                            <w:r w:rsidR="000673C9">
                              <w:rPr>
                                <w:i/>
                                <w:iCs/>
                              </w:rPr>
                              <w:t>z</w:t>
                            </w:r>
                            <w:r>
                              <w:rPr>
                                <w:i/>
                                <w:iCs/>
                              </w:rPr>
                              <w:t>ata Bąk</w:t>
                            </w:r>
                            <w:r>
                              <w:rPr>
                                <w:i/>
                                <w:iCs/>
                              </w:rPr>
                              <w:br/>
                            </w:r>
                            <w:r>
                              <w:rPr>
                                <w:rFonts w:ascii="Arial" w:eastAsia="Arial" w:hAnsi="Arial" w:cs="Arial"/>
                                <w:sz w:val="20"/>
                                <w:szCs w:val="20"/>
                              </w:rPr>
                              <w:t>ADWOKAT</w:t>
                            </w:r>
                          </w:p>
                        </w:txbxContent>
                      </wps:txbx>
                      <wps:bodyPr lIns="0" tIns="0" rIns="0" bIns="0"/>
                    </wps:wsp>
                  </a:graphicData>
                </a:graphic>
              </wp:anchor>
            </w:drawing>
          </mc:Choice>
          <mc:Fallback>
            <w:pict>
              <v:shape id="Shape 11" o:spid="_x0000_s1028" type="#_x0000_t202" style="position:absolute;margin-left:213.15pt;margin-top:104.4pt;width:90.25pt;height:32.9pt;z-index:125829383;visibility:visible;mso-wrap-style:square;mso-wrap-distance-left:0;mso-wrap-distance-top:104.4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" filled="f" stroked="f">
                <v:textbox inset="0,0,0,0">
                  <w:txbxContent>
                    <w:p w:rsidR="004F0025" w:rsidRDefault="00000000">
                      <w:pPr>
                        <w:pStyle w:val="Teksttreci0"/>
                        <w:ind w:firstLine="0"/>
                        <w:jc w:val="center"/>
                        <w:rPr>
                          <w:sz w:val="20"/>
                          <w:szCs w:val="20"/>
                        </w:rPr>
                      </w:pPr>
                      <w:r>
                        <w:rPr>
                          <w:i/>
                          <w:iCs/>
                        </w:rPr>
                        <w:t>Ma</w:t>
                      </w:r>
                      <w:r w:rsidR="000673C9">
                        <w:rPr>
                          <w:i/>
                          <w:iCs/>
                        </w:rPr>
                        <w:t>ł</w:t>
                      </w:r>
                      <w:r>
                        <w:rPr>
                          <w:i/>
                          <w:iCs/>
                        </w:rPr>
                        <w:t>gor</w:t>
                      </w:r>
                      <w:r w:rsidR="000673C9">
                        <w:rPr>
                          <w:i/>
                          <w:iCs/>
                        </w:rPr>
                        <w:t>z</w:t>
                      </w:r>
                      <w:r>
                        <w:rPr>
                          <w:i/>
                          <w:iCs/>
                        </w:rPr>
                        <w:t>ata Bąk</w:t>
                      </w:r>
                      <w:r>
                        <w:rPr>
                          <w:i/>
                          <w:iCs/>
                        </w:rPr>
                        <w:br/>
                      </w:r>
                      <w:r>
                        <w:rPr>
                          <w:rFonts w:ascii="Arial" w:eastAsia="Arial" w:hAnsi="Arial" w:cs="Arial"/>
                          <w:sz w:val="20"/>
                          <w:szCs w:val="20"/>
                        </w:rPr>
                        <w:t>ADWOKAT</w:t>
                      </w:r>
                    </w:p>
                  </w:txbxContent>
                </v:textbox>
                <w10:wrap type="topAndBottom" anchorx="page"/>
              </v:shape>
            </w:pict>
          </mc:Fallback>
        </mc:AlternateContent>
      </w:r>
    </w:p>
    <w:p w:rsidR="000673C9" w:rsidRDefault="000673C9">
      <w:pPr>
        <w:pStyle w:val="Teksttreci30"/>
      </w:pPr>
    </w:p>
    <w:p w:rsidR="004F0025" w:rsidRDefault="00000000">
      <w:pPr>
        <w:pStyle w:val="Teksttreci30"/>
      </w:pPr>
      <w:r>
        <w:t>Załącznik nr 1 do decyzji o środowiskowych uwarunkowaniach znak IK.6220.6.8.2022.OŚ z dnia 25.01.2023r.</w:t>
      </w:r>
    </w:p>
    <w:p w:rsidR="004F0025" w:rsidRDefault="00000000">
      <w:pPr>
        <w:pStyle w:val="Teksttreci0"/>
        <w:spacing w:after="260" w:line="240" w:lineRule="auto"/>
        <w:ind w:firstLine="0"/>
      </w:pPr>
      <w:r>
        <w:t>IK.6220.6.9.2022.OŚ</w:t>
      </w:r>
    </w:p>
    <w:p w:rsidR="004F0025" w:rsidRDefault="00000000">
      <w:pPr>
        <w:pStyle w:val="Teksttreci0"/>
        <w:spacing w:after="880" w:line="240" w:lineRule="auto"/>
        <w:ind w:firstLine="0"/>
        <w:jc w:val="center"/>
        <w:rPr>
          <w:sz w:val="24"/>
          <w:szCs w:val="24"/>
        </w:rPr>
      </w:pPr>
      <w:r>
        <w:rPr>
          <w:b/>
          <w:bCs/>
          <w:sz w:val="24"/>
          <w:szCs w:val="24"/>
        </w:rPr>
        <w:t xml:space="preserve">Charakterystyka planowanego przedsięwzięcia zgodnie z art. 84 ust. 2 </w:t>
      </w:r>
      <w:r>
        <w:rPr>
          <w:b/>
          <w:bCs/>
          <w:i/>
          <w:iCs/>
          <w:sz w:val="24"/>
          <w:szCs w:val="24"/>
        </w:rPr>
        <w:t>ustawy</w:t>
      </w:r>
      <w:r>
        <w:rPr>
          <w:b/>
          <w:bCs/>
          <w:i/>
          <w:iCs/>
          <w:sz w:val="24"/>
          <w:szCs w:val="24"/>
        </w:rPr>
        <w:br/>
        <w:t>Z dnia 03.10.2008r. o udostępnianiu informacji o środowisku i jego ochronie, udziale</w:t>
      </w:r>
      <w:r>
        <w:rPr>
          <w:b/>
          <w:bCs/>
          <w:i/>
          <w:iCs/>
          <w:sz w:val="24"/>
          <w:szCs w:val="24"/>
        </w:rPr>
        <w:br/>
        <w:t>społeczeństwa w ochronie środowiska oraz o ocenach oddziaływania na środowisko</w:t>
      </w:r>
      <w:r>
        <w:rPr>
          <w:b/>
          <w:bCs/>
          <w:i/>
          <w:iCs/>
          <w:sz w:val="24"/>
          <w:szCs w:val="24"/>
        </w:rPr>
        <w:br/>
      </w:r>
      <w:r>
        <w:rPr>
          <w:b/>
          <w:bCs/>
          <w:sz w:val="24"/>
          <w:szCs w:val="24"/>
        </w:rPr>
        <w:t>(sporządzona na podstawie Karty Informacyjnej Przedsięwzięcia)</w:t>
      </w:r>
    </w:p>
    <w:p w:rsidR="004F0025" w:rsidRDefault="00000000">
      <w:pPr>
        <w:pStyle w:val="Teksttreci0"/>
        <w:spacing w:line="264" w:lineRule="auto"/>
        <w:ind w:firstLine="700"/>
        <w:jc w:val="both"/>
      </w:pPr>
      <w:r>
        <w:t>Inwestycja polega na budowie farmy fotowoltaicznej wraz z infrastrukturą towarzyszącą, zlokalizowanej na działkach oznaczonych ewidencyjnie numerami 1160, 1163, 1168, 1169, obręb Czerwona Woda, gmina Węgliniec, powiat zgorzelecki, województwo dolnośląskie. Na terenie inwestycji usytuowane zostaną urządzenia wytwarzające energię z odnawialnych źródeł energii z wykorzystaniem energii promieniowania słonecznego - panele fotowoltaiczne, wykonana zostanie również sieć i obiekty infrastruktury technicznej. Skala przedsięwzięcia determinowana jest dostępną powierzchnią terenu przeznaczonego pod zainwestowanie oraz warunkami technicznymi stwarzającymi możliwość przyłączenia projektowanego obiektu do sieci energetycznej. Teren objęty inwestycją obecnie stanowią zgodnie z ewidencją gruntów i budynków pastwiska trwałe.</w:t>
      </w:r>
    </w:p>
    <w:p w:rsidR="004F0025" w:rsidRDefault="00000000">
      <w:pPr>
        <w:pStyle w:val="Teksttreci0"/>
        <w:spacing w:line="302" w:lineRule="auto"/>
        <w:ind w:firstLine="700"/>
        <w:jc w:val="both"/>
      </w:pPr>
      <w:r>
        <w:t>Teren inwestycji objęty jest Miejscowym Planem Zagospodarowania Przestrzennego, przyjętym uchwałą nr 210/XVI/16 Rady Miejskiej w Węglińcu z dnia 23 lutego 2016 roku. Zgodnie z Miejscowym Planem Zagospodarowania Przestrzennego teren przedsięwzięcia przeznaczony jest pod tereny produkcyjno-usługowe (symbol 17.6P/E/U oraz 17.9P/E/U).</w:t>
      </w:r>
    </w:p>
    <w:p w:rsidR="004F0025" w:rsidRDefault="00000000">
      <w:pPr>
        <w:pStyle w:val="Teksttreci0"/>
        <w:spacing w:line="266" w:lineRule="auto"/>
        <w:ind w:firstLine="700"/>
        <w:jc w:val="both"/>
      </w:pPr>
      <w:r>
        <w:t>Zakres inwestycji obejmuje nieruchomości o numerach ewidencji gruntów 1160, 1163, 1168, 1169, obręb Czerwona Woda, gmina Węgliniec, powiat zgorzelecki, województwo dolnośląskie. Do wskazanego terenu Inwestor posiada tytuł prawny - umowa dzierżawy. Całkowita powierzchnia działek wynosi 5,26 ha. Powierzchnia poszczególnych działek: 1160 (1,099 ha), 1163 (1,336 ha), 1168 (1,495 ha), 1169 (1,334 ha).</w:t>
      </w:r>
    </w:p>
    <w:p w:rsidR="004F0025" w:rsidRDefault="00000000">
      <w:pPr>
        <w:pStyle w:val="Teksttreci0"/>
        <w:spacing w:line="240" w:lineRule="auto"/>
        <w:ind w:firstLine="0"/>
        <w:rPr>
          <w:sz w:val="24"/>
          <w:szCs w:val="24"/>
        </w:rPr>
      </w:pPr>
      <w:r>
        <w:rPr>
          <w:noProof/>
        </w:rPr>
        <mc:AlternateContent>
          <mc:Choice Requires="wps">
            <w:drawing>
              <wp:anchor distT="0" distB="0" distL="114300" distR="114300" simplePos="0" relativeHeight="125829387" behindDoc="0" locked="0" layoutInCell="1" allowOverlap="1">
                <wp:simplePos x="0" y="0"/>
                <wp:positionH relativeFrom="page">
                  <wp:posOffset>4419600</wp:posOffset>
                </wp:positionH>
                <wp:positionV relativeFrom="paragraph">
                  <wp:posOffset>177800</wp:posOffset>
                </wp:positionV>
                <wp:extent cx="749935" cy="713105"/>
                <wp:effectExtent l="0" t="0" r="0" b="0"/>
                <wp:wrapSquare wrapText="left"/>
                <wp:docPr id="15" name="Shape 15"/>
                <wp:cNvGraphicFramePr/>
                <a:graphic xmlns:a="http://schemas.openxmlformats.org/drawingml/2006/main">
                  <a:graphicData uri="http://schemas.microsoft.com/office/word/2010/wordprocessingShape">
                    <wps:wsp>
                      <wps:cNvSpPr txBox="1"/>
                      <wps:spPr>
                        <a:xfrm>
                          <a:off x="0" y="0"/>
                          <a:ext cx="749935" cy="713105"/>
                        </a:xfrm>
                        <a:prstGeom prst="rect">
                          <a:avLst/>
                        </a:prstGeom>
                        <a:noFill/>
                      </wps:spPr>
                      <wps:txbx>
                        <w:txbxContent>
                          <w:p w:rsidR="004F0025" w:rsidRDefault="00000000">
                            <w:pPr>
                              <w:pStyle w:val="Teksttreci0"/>
                              <w:spacing w:line="240" w:lineRule="auto"/>
                              <w:ind w:firstLine="0"/>
                              <w:jc w:val="both"/>
                              <w:rPr>
                                <w:sz w:val="24"/>
                                <w:szCs w:val="24"/>
                              </w:rPr>
                            </w:pPr>
                            <w:r>
                              <w:rPr>
                                <w:b/>
                                <w:bCs/>
                                <w:sz w:val="24"/>
                                <w:szCs w:val="24"/>
                              </w:rPr>
                              <w:t>ok. 5,26 ha ok. 4,42 ha ok. 1,46 ha ok. 36,0 m</w:t>
                            </w:r>
                            <w:r>
                              <w:rPr>
                                <w:b/>
                                <w:bCs/>
                                <w:sz w:val="24"/>
                                <w:szCs w:val="24"/>
                                <w:vertAlign w:val="superscript"/>
                              </w:rPr>
                              <w:t>2</w:t>
                            </w:r>
                          </w:p>
                        </w:txbxContent>
                      </wps:txbx>
                      <wps:bodyPr lIns="0" tIns="0" rIns="0" bIns="0"/>
                    </wps:wsp>
                  </a:graphicData>
                </a:graphic>
              </wp:anchor>
            </w:drawing>
          </mc:Choice>
          <mc:Fallback>
            <w:pict>
              <v:shape id="Shape 15" o:spid="_x0000_s1029" type="#_x0000_t202" style="position:absolute;margin-left:348pt;margin-top:14pt;width:59.05pt;height:56.15pt;z-index:125829387;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" filled="f" stroked="f">
                <v:textbox inset="0,0,0,0">
                  <w:txbxContent>
                    <w:p w:rsidR="004F0025" w:rsidRDefault="00000000">
                      <w:pPr>
                        <w:pStyle w:val="Teksttreci0"/>
                        <w:spacing w:line="240" w:lineRule="auto"/>
                        <w:ind w:firstLine="0"/>
                        <w:jc w:val="both"/>
                        <w:rPr>
                          <w:sz w:val="24"/>
                          <w:szCs w:val="24"/>
                        </w:rPr>
                      </w:pPr>
                      <w:r>
                        <w:rPr>
                          <w:b/>
                          <w:bCs/>
                          <w:sz w:val="24"/>
                          <w:szCs w:val="24"/>
                        </w:rPr>
                        <w:t>ok. 5,26 ha ok. 4,42 ha ok. 1,46 ha ok. 36,0 m</w:t>
                      </w:r>
                      <w:r>
                        <w:rPr>
                          <w:b/>
                          <w:bCs/>
                          <w:sz w:val="24"/>
                          <w:szCs w:val="24"/>
                          <w:vertAlign w:val="superscript"/>
                        </w:rPr>
                        <w:t>2</w:t>
                      </w:r>
                    </w:p>
                  </w:txbxContent>
                </v:textbox>
                <w10:wrap type="square" side="left" anchorx="page"/>
              </v:shape>
            </w:pict>
          </mc:Fallback>
        </mc:AlternateContent>
      </w:r>
      <w:r>
        <w:rPr>
          <w:b/>
          <w:bCs/>
          <w:sz w:val="24"/>
          <w:szCs w:val="24"/>
        </w:rPr>
        <w:t>Bilans szacowanej powierzchni:</w:t>
      </w:r>
    </w:p>
    <w:p w:rsidR="004F0025" w:rsidRDefault="00000000">
      <w:pPr>
        <w:pStyle w:val="Teksttreci0"/>
        <w:spacing w:line="269" w:lineRule="auto"/>
        <w:ind w:firstLine="700"/>
        <w:jc w:val="both"/>
      </w:pPr>
      <w:r>
        <w:t>Całkowita powierzchnia do przekształcenia:</w:t>
      </w:r>
    </w:p>
    <w:p w:rsidR="004F0025" w:rsidRDefault="00000000">
      <w:pPr>
        <w:pStyle w:val="Teksttreci0"/>
        <w:spacing w:line="269" w:lineRule="auto"/>
        <w:ind w:firstLine="700"/>
        <w:jc w:val="both"/>
      </w:pPr>
      <w:r>
        <w:t>Powierzchnia ogrodzona:</w:t>
      </w:r>
    </w:p>
    <w:p w:rsidR="004F0025" w:rsidRDefault="00000000">
      <w:pPr>
        <w:pStyle w:val="Teksttreci0"/>
        <w:spacing w:line="269" w:lineRule="auto"/>
        <w:ind w:left="700" w:firstLine="0"/>
        <w:jc w:val="both"/>
      </w:pPr>
      <w:r>
        <w:t>Rzut poziomy instalacji fotowoltaicznej: Powierzchnia stacji transformatorowej:</w:t>
      </w:r>
    </w:p>
    <w:p w:rsidR="004F0025" w:rsidRDefault="00000000">
      <w:pPr>
        <w:pStyle w:val="Teksttreci0"/>
        <w:spacing w:line="266" w:lineRule="auto"/>
        <w:ind w:firstLine="700"/>
        <w:jc w:val="both"/>
      </w:pPr>
      <w:r>
        <w:t>Z całości powierzchni inwestycji szacuje się, że około 1,5 ha zostanie przeznaczone pod lokalizację paneli fotowoltaicznych wraz ze stacją transformatorową, co stanowi około 27,83% powierzchni działek. Powierzchnia terenu bezpośrednio pod panelami jest również powierzchnią biologicznie czynną, ponieważ panele zamontowane są na konstrukcji wsporczej nad powierzchnią ziemi, poprzez palowanie. Powierzchnia zajęta pod samo palowanie szacunkowo nie wyniesie więcej niż 0,02% z powierzchni zajętej pod panele fotowoltaiczne. Wobec powyższego przyjmuje się, że całkowita powierzchnia biologicznie czynna stanowi praktycznie 99% terenu inwestycji.</w:t>
      </w:r>
    </w:p>
    <w:p w:rsidR="004F0025" w:rsidRDefault="00000000">
      <w:pPr>
        <w:pStyle w:val="Teksttreci0"/>
        <w:spacing w:after="260" w:line="266" w:lineRule="auto"/>
        <w:ind w:firstLine="320"/>
        <w:jc w:val="both"/>
      </w:pPr>
      <w:r>
        <w:t>Na terenie inwestycji usytuowane zostaną urządzenia wytwarzające energię z odnawialnych źródeł energii z wykorzystaniem energii promieniowania słonecznego - panele fotowoltaiczne, wykonana zostanie również sieć i obiekty infrastruktury technicznej.</w:t>
      </w:r>
      <w:r>
        <w:br w:type="page"/>
      </w:r>
    </w:p>
    <w:p w:rsidR="004F0025" w:rsidRDefault="00000000">
      <w:pPr>
        <w:pStyle w:val="Teksttreci0"/>
        <w:spacing w:after="100" w:line="269" w:lineRule="auto"/>
        <w:ind w:firstLine="380"/>
        <w:jc w:val="both"/>
      </w:pPr>
      <w:r>
        <w:lastRenderedPageBreak/>
        <w:t xml:space="preserve">Projektowana farma fotowoltaiczna o mocy do 3 </w:t>
      </w:r>
      <w:proofErr w:type="spellStart"/>
      <w:r>
        <w:t>MWp</w:t>
      </w:r>
      <w:proofErr w:type="spellEnd"/>
      <w:r>
        <w:t xml:space="preserve"> wraz z infrastrukturą towarzyszącą charakteryzować się będzie następującymi parametrami:</w:t>
      </w:r>
    </w:p>
    <w:p w:rsidR="004F0025" w:rsidRDefault="00000000">
      <w:pPr>
        <w:pStyle w:val="Teksttreci0"/>
        <w:numPr>
          <w:ilvl w:val="0"/>
          <w:numId w:val="8"/>
        </w:numPr>
        <w:tabs>
          <w:tab w:val="left" w:pos="711"/>
        </w:tabs>
        <w:ind w:firstLine="380"/>
      </w:pPr>
      <w:r>
        <w:t xml:space="preserve">Moduł fotowoltaiczny o mocy jednostkowej od 300 </w:t>
      </w:r>
      <w:proofErr w:type="spellStart"/>
      <w:r>
        <w:t>Wp</w:t>
      </w:r>
      <w:proofErr w:type="spellEnd"/>
      <w:r>
        <w:t xml:space="preserve"> do 1500 </w:t>
      </w:r>
      <w:proofErr w:type="spellStart"/>
      <w:r>
        <w:t>Wp</w:t>
      </w:r>
      <w:proofErr w:type="spellEnd"/>
      <w:r>
        <w:t>,</w:t>
      </w:r>
    </w:p>
    <w:p w:rsidR="004F0025" w:rsidRDefault="00000000">
      <w:pPr>
        <w:pStyle w:val="Teksttreci0"/>
        <w:numPr>
          <w:ilvl w:val="0"/>
          <w:numId w:val="8"/>
        </w:numPr>
        <w:tabs>
          <w:tab w:val="left" w:pos="711"/>
        </w:tabs>
        <w:ind w:firstLine="380"/>
      </w:pPr>
      <w:r>
        <w:t>Inwerter - dobór na etapie projektowania,</w:t>
      </w:r>
    </w:p>
    <w:p w:rsidR="004F0025" w:rsidRDefault="00000000">
      <w:pPr>
        <w:pStyle w:val="Teksttreci0"/>
        <w:numPr>
          <w:ilvl w:val="0"/>
          <w:numId w:val="8"/>
        </w:numPr>
        <w:tabs>
          <w:tab w:val="left" w:pos="711"/>
        </w:tabs>
        <w:ind w:left="1060" w:hanging="680"/>
        <w:jc w:val="both"/>
      </w:pPr>
      <w:r>
        <w:t>Stacja transformatorowa - dobór stacji transformatorowej będzie na etapie projektowania, jednak jej parametry nie spowodują przekroczenia pola elektrycznego i magnetycznego,</w:t>
      </w:r>
    </w:p>
    <w:p w:rsidR="004F0025" w:rsidRDefault="00000000">
      <w:pPr>
        <w:pStyle w:val="Teksttreci0"/>
        <w:numPr>
          <w:ilvl w:val="0"/>
          <w:numId w:val="8"/>
        </w:numPr>
        <w:tabs>
          <w:tab w:val="left" w:pos="711"/>
        </w:tabs>
        <w:ind w:firstLine="380"/>
      </w:pPr>
      <w:r>
        <w:t>Odległość pomiędzy stołami od 2 do 10 m,</w:t>
      </w:r>
    </w:p>
    <w:p w:rsidR="004F0025" w:rsidRDefault="00000000">
      <w:pPr>
        <w:pStyle w:val="Teksttreci0"/>
        <w:numPr>
          <w:ilvl w:val="0"/>
          <w:numId w:val="8"/>
        </w:numPr>
        <w:tabs>
          <w:tab w:val="left" w:pos="711"/>
        </w:tabs>
        <w:ind w:firstLine="380"/>
      </w:pPr>
      <w:r>
        <w:t>Wysokość konstrukcji - do 4 m,</w:t>
      </w:r>
    </w:p>
    <w:p w:rsidR="004F0025" w:rsidRDefault="00000000">
      <w:pPr>
        <w:pStyle w:val="Teksttreci0"/>
        <w:numPr>
          <w:ilvl w:val="0"/>
          <w:numId w:val="8"/>
        </w:numPr>
        <w:tabs>
          <w:tab w:val="left" w:pos="711"/>
        </w:tabs>
        <w:spacing w:after="100"/>
        <w:ind w:firstLine="380"/>
      </w:pPr>
      <w:r>
        <w:t>Kąt nachylenia konstrukcji od 10° do 40°.</w:t>
      </w:r>
    </w:p>
    <w:p w:rsidR="004F0025" w:rsidRDefault="00000000">
      <w:pPr>
        <w:pStyle w:val="Teksttreci0"/>
        <w:spacing w:line="266" w:lineRule="auto"/>
        <w:ind w:firstLine="380"/>
        <w:jc w:val="both"/>
      </w:pPr>
      <w:r>
        <w:t>Podstawowym elementem farmy fotowoltaicznej są ogniwa fotowoltaiczne, które służą do bezpośredniej konwersji energii promieniowania słonecznego na energię elektryczną. Konwersja taka jest możliwa poprzez wykorzystanie półprzewodnikowego złącza typu p - n (</w:t>
      </w:r>
      <w:proofErr w:type="spellStart"/>
      <w:r>
        <w:t>positive</w:t>
      </w:r>
      <w:proofErr w:type="spellEnd"/>
      <w:r>
        <w:t xml:space="preserve"> - </w:t>
      </w:r>
      <w:proofErr w:type="spellStart"/>
      <w:r>
        <w:t>negative</w:t>
      </w:r>
      <w:proofErr w:type="spellEnd"/>
      <w:r>
        <w:t>), zawierającego dwie warstwy pozytywną (+) i negatywną (-). Gdy w ogniwo trafia strumień światła (składający się z cząstek zwanych fotonami) następuje przemieszczenie ładunków elektrycznych, co powoduje pojawienie się różnicy potencjałów, czyli napięcia elektrycznego. Zjawisko to nazywamy efektem fotowoltaicznym. Większość stosowanych ogniw opiera się na bazie krzemu.</w:t>
      </w:r>
    </w:p>
    <w:p w:rsidR="004F0025" w:rsidRDefault="00000000">
      <w:pPr>
        <w:pStyle w:val="Teksttreci0"/>
        <w:spacing w:after="100" w:line="266" w:lineRule="auto"/>
        <w:ind w:firstLine="0"/>
        <w:jc w:val="both"/>
      </w:pPr>
      <w:r>
        <w:t>Panel pokryte są dodatkowo powłoką antyrefleksyjną. Inwestor przewiduje możliwość zastosowania następujących ogniw fotowoltaicznych:</w:t>
      </w:r>
    </w:p>
    <w:p w:rsidR="004F0025" w:rsidRDefault="00000000">
      <w:pPr>
        <w:pStyle w:val="Teksttreci0"/>
        <w:numPr>
          <w:ilvl w:val="0"/>
          <w:numId w:val="8"/>
        </w:numPr>
        <w:tabs>
          <w:tab w:val="left" w:pos="711"/>
        </w:tabs>
        <w:spacing w:line="300" w:lineRule="auto"/>
        <w:ind w:left="1060" w:hanging="680"/>
        <w:jc w:val="both"/>
      </w:pPr>
      <w:r>
        <w:t>monokrystalicznych - gdzie moduł składa się z wielu ogniw utworzonych z jednorodnego kryształu krzemu,</w:t>
      </w:r>
    </w:p>
    <w:p w:rsidR="004F0025" w:rsidRDefault="00000000">
      <w:pPr>
        <w:pStyle w:val="Teksttreci0"/>
        <w:numPr>
          <w:ilvl w:val="0"/>
          <w:numId w:val="8"/>
        </w:numPr>
        <w:tabs>
          <w:tab w:val="left" w:pos="711"/>
        </w:tabs>
        <w:spacing w:after="100" w:line="300" w:lineRule="auto"/>
        <w:ind w:left="1060" w:hanging="680"/>
        <w:jc w:val="both"/>
      </w:pPr>
      <w:r>
        <w:t>polikrystalicznych - gdzie ogniwa składają się z wielu małych kryształów krzemu tworzących niejednolitą powierzchnię.</w:t>
      </w:r>
    </w:p>
    <w:p w:rsidR="004F0025" w:rsidRDefault="00000000">
      <w:pPr>
        <w:pStyle w:val="Teksttreci0"/>
        <w:spacing w:after="240" w:line="286" w:lineRule="auto"/>
        <w:ind w:firstLine="0"/>
      </w:pPr>
      <w:r>
        <w:t xml:space="preserve">Moc nominalna pojedynczego panelu fotowoltaicznego 300 </w:t>
      </w:r>
      <w:proofErr w:type="spellStart"/>
      <w:r>
        <w:t>Wp</w:t>
      </w:r>
      <w:proofErr w:type="spellEnd"/>
      <w:r>
        <w:t xml:space="preserve">- 1500 </w:t>
      </w:r>
      <w:proofErr w:type="spellStart"/>
      <w:r>
        <w:t>Wp</w:t>
      </w:r>
      <w:proofErr w:type="spellEnd"/>
      <w:r>
        <w:t>.</w:t>
      </w:r>
    </w:p>
    <w:p w:rsidR="00394172" w:rsidRDefault="00000000" w:rsidP="00394172">
      <w:pPr>
        <w:pStyle w:val="Teksttreci0"/>
        <w:spacing w:line="264" w:lineRule="auto"/>
        <w:ind w:firstLine="700"/>
      </w:pPr>
      <w:r>
        <w:t>Zgodnie z ustaleniami niniejszego opracowania, planowana inwestycja nie będzie znacząco oddziaływać na obszar Natura 2000, nie jest bezpośrednio związana z ochroną tego</w:t>
      </w:r>
      <w:r w:rsidR="00706830" w:rsidRPr="00706830">
        <w:t xml:space="preserve"> </w:t>
      </w:r>
      <w:r w:rsidR="00706830" w:rsidRPr="0052341B">
        <w:t xml:space="preserve">obszaru i nie wynika z     </w:t>
      </w:r>
    </w:p>
    <w:p w:rsidR="0052341B" w:rsidRPr="0052341B" w:rsidRDefault="00000000" w:rsidP="0052341B">
      <w:pPr>
        <w:rPr>
          <w:rFonts w:ascii="Times New Roman" w:hAnsi="Times New Roman" w:cs="Times New Roman"/>
          <w:sz w:val="22"/>
          <w:szCs w:val="22"/>
        </w:rPr>
      </w:pPr>
      <w:r w:rsidRPr="0052341B">
        <w:rPr>
          <w:rFonts w:ascii="Times New Roman" w:hAnsi="Times New Roman" w:cs="Times New Roman"/>
          <w:noProof/>
          <w:sz w:val="22"/>
          <w:szCs w:val="22"/>
        </w:rPr>
        <mc:AlternateContent>
          <mc:Choice Requires="wps">
            <w:drawing>
              <wp:anchor distT="0" distB="0" distL="0" distR="0" simplePos="0" relativeHeight="251658240" behindDoc="0" locked="0" layoutInCell="1" allowOverlap="1">
                <wp:simplePos x="0" y="0"/>
                <wp:positionH relativeFrom="page">
                  <wp:posOffset>4410075</wp:posOffset>
                </wp:positionH>
                <wp:positionV relativeFrom="paragraph">
                  <wp:posOffset>518795</wp:posOffset>
                </wp:positionV>
                <wp:extent cx="1310640" cy="560705"/>
                <wp:effectExtent l="0" t="0" r="0" b="0"/>
                <wp:wrapNone/>
                <wp:docPr id="21" name="Shape 21"/>
                <wp:cNvGraphicFramePr/>
                <a:graphic xmlns:a="http://schemas.openxmlformats.org/drawingml/2006/main">
                  <a:graphicData uri="http://schemas.microsoft.com/office/word/2010/wordprocessingShape">
                    <wps:wsp>
                      <wps:cNvSpPr txBox="1"/>
                      <wps:spPr>
                        <a:xfrm>
                          <a:off x="0" y="0"/>
                          <a:ext cx="1310640" cy="560705"/>
                        </a:xfrm>
                        <a:prstGeom prst="rect">
                          <a:avLst/>
                        </a:prstGeom>
                        <a:noFill/>
                      </wps:spPr>
                      <wps:txbx>
                        <w:txbxContent>
                          <w:p w:rsidR="004F0025" w:rsidRDefault="004F0025">
                            <w:pPr>
                              <w:pStyle w:val="Podpisobrazu0"/>
                              <w:rPr>
                                <w:sz w:val="22"/>
                                <w:szCs w:val="22"/>
                              </w:rPr>
                            </w:pPr>
                          </w:p>
                        </w:txbxContent>
                      </wps:txbx>
                      <wps:bodyPr lIns="0" tIns="0" rIns="0" bIns="0"/>
                    </wps:wsp>
                  </a:graphicData>
                </a:graphic>
              </wp:anchor>
            </w:drawing>
          </mc:Choice>
          <mc:Fallback>
            <w:pict>
              <v:shape id="Shape 21" o:spid="_x0000_s1030" type="#_x0000_t202" style="position:absolute;margin-left:347.25pt;margin-top:40.85pt;width:103.2pt;height:44.1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" filled="f" stroked="f">
                <v:textbox inset="0,0,0,0">
                  <w:txbxContent>
                    <w:p w:rsidR="004F0025" w:rsidRDefault="004F0025">
                      <w:pPr>
                        <w:pStyle w:val="Podpisobrazu0"/>
                        <w:rPr>
                          <w:sz w:val="22"/>
                          <w:szCs w:val="22"/>
                        </w:rPr>
                      </w:pPr>
                    </w:p>
                  </w:txbxContent>
                </v:textbox>
                <w10:wrap anchorx="page"/>
              </v:shape>
            </w:pict>
          </mc:Fallback>
        </mc:AlternateContent>
      </w:r>
      <w:r w:rsidRPr="0052341B">
        <w:rPr>
          <w:rFonts w:ascii="Times New Roman" w:hAnsi="Times New Roman" w:cs="Times New Roman"/>
          <w:sz w:val="22"/>
          <w:szCs w:val="22"/>
        </w:rPr>
        <w:t>tej ochrony oraz nie będzie transgranicznie oddziaływać</w:t>
      </w:r>
      <w:r>
        <w:t xml:space="preserve"> </w:t>
      </w:r>
      <w:r w:rsidR="0052341B" w:rsidRPr="0052341B">
        <w:rPr>
          <w:rFonts w:ascii="Times New Roman" w:hAnsi="Times New Roman" w:cs="Times New Roman"/>
          <w:sz w:val="22"/>
          <w:szCs w:val="22"/>
        </w:rPr>
        <w:t>środowisko.</w:t>
      </w:r>
    </w:p>
    <w:p w:rsidR="004F0025" w:rsidRDefault="004F0025" w:rsidP="00394172">
      <w:pPr>
        <w:pStyle w:val="Teksttreci0"/>
        <w:spacing w:line="264" w:lineRule="auto"/>
        <w:ind w:firstLine="0"/>
      </w:pPr>
    </w:p>
    <w:p w:rsidR="00942971" w:rsidRDefault="00942971">
      <w:pPr>
        <w:pStyle w:val="Teksttreci20"/>
      </w:pPr>
    </w:p>
    <w:p w:rsidR="00942971" w:rsidRDefault="00942971">
      <w:pPr>
        <w:pStyle w:val="Teksttreci20"/>
      </w:pPr>
    </w:p>
    <w:p w:rsidR="00942971" w:rsidRDefault="00942971">
      <w:pPr>
        <w:pStyle w:val="Teksttreci20"/>
      </w:pPr>
    </w:p>
    <w:p w:rsidR="00942971" w:rsidRDefault="00942971">
      <w:pPr>
        <w:pStyle w:val="Teksttreci20"/>
      </w:pPr>
    </w:p>
    <w:p w:rsidR="00942971" w:rsidRDefault="00942971">
      <w:pPr>
        <w:pStyle w:val="Teksttreci20"/>
      </w:pPr>
    </w:p>
    <w:p w:rsidR="00942971" w:rsidRDefault="00942971">
      <w:pPr>
        <w:pStyle w:val="Teksttreci20"/>
      </w:pPr>
    </w:p>
    <w:p w:rsidR="004F0025" w:rsidRDefault="00000000">
      <w:pPr>
        <w:pStyle w:val="Teksttreci20"/>
      </w:pPr>
      <w:r>
        <w:t>Sporządziła:</w:t>
      </w:r>
    </w:p>
    <w:p w:rsidR="004F0025" w:rsidRDefault="00000000">
      <w:pPr>
        <w:pStyle w:val="Teksttreci20"/>
      </w:pPr>
      <w:r>
        <w:t>Magdalena Nowakowska</w:t>
      </w:r>
    </w:p>
    <w:p w:rsidR="004F0025" w:rsidRDefault="0052341B">
      <w:pPr>
        <w:pStyle w:val="Teksttreci20"/>
        <w:spacing w:after="60"/>
      </w:pPr>
      <w:r>
        <w:rPr>
          <w:noProof/>
        </w:rPr>
        <mc:AlternateContent>
          <mc:Choice Requires="wps">
            <w:drawing>
              <wp:anchor distT="0" distB="0" distL="50800" distR="50800" simplePos="0" relativeHeight="125829389" behindDoc="0" locked="0" layoutInCell="1" allowOverlap="1">
                <wp:simplePos x="0" y="0"/>
                <wp:positionH relativeFrom="page">
                  <wp:posOffset>2110105</wp:posOffset>
                </wp:positionH>
                <wp:positionV relativeFrom="paragraph">
                  <wp:posOffset>549910</wp:posOffset>
                </wp:positionV>
                <wp:extent cx="3171825" cy="372110"/>
                <wp:effectExtent l="0" t="0" r="0" b="0"/>
                <wp:wrapSquare wrapText="right"/>
                <wp:docPr id="17" name="Shape 17"/>
                <wp:cNvGraphicFramePr/>
                <a:graphic xmlns:a="http://schemas.openxmlformats.org/drawingml/2006/main">
                  <a:graphicData uri="http://schemas.microsoft.com/office/word/2010/wordprocessingShape">
                    <wps:wsp>
                      <wps:cNvSpPr txBox="1"/>
                      <wps:spPr>
                        <a:xfrm>
                          <a:off x="0" y="0"/>
                          <a:ext cx="3171825" cy="372110"/>
                        </a:xfrm>
                        <a:prstGeom prst="rect">
                          <a:avLst/>
                        </a:prstGeom>
                        <a:noFill/>
                      </wps:spPr>
                      <wps:txbx>
                        <w:txbxContent>
                          <w:p w:rsidR="004F0025" w:rsidRPr="0052341B" w:rsidRDefault="004F0025" w:rsidP="00394172">
                            <w:pPr>
                              <w:rPr>
                                <w:rFonts w:ascii="Times New Roman" w:hAnsi="Times New Roman" w:cs="Times New Roman"/>
                                <w:sz w:val="22"/>
                                <w:szCs w:val="22"/>
                              </w:rPr>
                            </w:pPr>
                          </w:p>
                        </w:txbxContent>
                      </wps:txbx>
                      <wps:bodyPr wrap="square" lIns="0" tIns="0" rIns="0" bIns="0"/>
                    </wps:wsp>
                  </a:graphicData>
                </a:graphic>
                <wp14:sizeRelH relativeFrom="margin">
                  <wp14:pctWidth>0</wp14:pctWidth>
                </wp14:sizeRelH>
              </wp:anchor>
            </w:drawing>
          </mc:Choice>
          <mc:Fallback>
            <w:pict>
              <v:shape id="Shape 17" o:spid="_x0000_s1031" type="#_x0000_t202" style="position:absolute;margin-left:166.15pt;margin-top:43.3pt;width:249.75pt;height:29.3pt;z-index:125829389;visibility:visible;mso-wrap-style:square;mso-width-percent:0;mso-wrap-distance-left:4pt;mso-wrap-distance-top:0;mso-wrap-distance-right:4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" filled="f" stroked="f">
                <v:textbox inset="0,0,0,0">
                  <w:txbxContent>
                    <w:p w:rsidR="004F0025" w:rsidRPr="0052341B" w:rsidRDefault="004F0025" w:rsidP="00394172">
                      <w:pPr>
                        <w:rPr>
                          <w:rFonts w:ascii="Times New Roman" w:hAnsi="Times New Roman" w:cs="Times New Roman"/>
                          <w:sz w:val="22"/>
                          <w:szCs w:val="22"/>
                        </w:rPr>
                      </w:pPr>
                    </w:p>
                  </w:txbxContent>
                </v:textbox>
                <w10:wrap type="square" side="right" anchorx="page"/>
              </v:shape>
            </w:pict>
          </mc:Fallback>
        </mc:AlternateContent>
      </w:r>
      <w:r w:rsidR="00000000">
        <w:rPr>
          <w:lang w:val="en-US" w:eastAsia="en-US" w:bidi="en-US"/>
        </w:rPr>
        <w:t>Tel.75-77-ll-435wew.53</w:t>
      </w:r>
    </w:p>
    <w:sectPr w:rsidR="004F0025">
      <w:footerReference w:type="even" r:id="rId10"/>
      <w:footerReference w:type="default" r:id="rId11"/>
      <w:pgSz w:w="11900" w:h="16840"/>
      <w:pgMar w:top="24" w:right="1203" w:bottom="391" w:left="103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0F9C" w:rsidRDefault="00E90F9C">
      <w:r>
        <w:separator/>
      </w:r>
    </w:p>
  </w:endnote>
  <w:endnote w:type="continuationSeparator" w:id="0">
    <w:p w:rsidR="00E90F9C" w:rsidRDefault="00E9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0025" w:rsidRDefault="00000000">
    <w:pPr>
      <w:spacing w:line="1" w:lineRule="exact"/>
    </w:pPr>
    <w:r>
      <w:rPr>
        <w:noProof/>
      </w:rPr>
      <mc:AlternateContent>
        <mc:Choice Requires="wps">
          <w:drawing>
            <wp:anchor distT="0" distB="0" distL="0" distR="0" simplePos="0" relativeHeight="62914692" behindDoc="1" locked="0" layoutInCell="1" allowOverlap="1">
              <wp:simplePos x="0" y="0"/>
              <wp:positionH relativeFrom="page">
                <wp:posOffset>3521710</wp:posOffset>
              </wp:positionH>
              <wp:positionV relativeFrom="page">
                <wp:posOffset>10511155</wp:posOffset>
              </wp:positionV>
              <wp:extent cx="658495" cy="103505"/>
              <wp:effectExtent l="0" t="0" r="0" b="0"/>
              <wp:wrapNone/>
              <wp:docPr id="7" name="Shape 7"/>
              <wp:cNvGraphicFramePr/>
              <a:graphic xmlns:a="http://schemas.openxmlformats.org/drawingml/2006/main">
                <a:graphicData uri="http://schemas.microsoft.com/office/word/2010/wordprocessingShape">
                  <wps:wsp>
                    <wps:cNvSpPr txBox="1"/>
                    <wps:spPr>
                      <a:xfrm>
                        <a:off x="0" y="0"/>
                        <a:ext cx="658495" cy="103505"/>
                      </a:xfrm>
                      <a:prstGeom prst="rect">
                        <a:avLst/>
                      </a:prstGeom>
                      <a:noFill/>
                    </wps:spPr>
                    <wps:txbx>
                      <w:txbxContent>
                        <w:p w:rsidR="004F0025" w:rsidRDefault="00000000">
                          <w:pPr>
                            <w:pStyle w:val="Nagweklubstopka20"/>
                          </w:pPr>
                          <w:r>
                            <w:t xml:space="preserve">Strona </w:t>
                          </w:r>
                          <w:r>
                            <w:fldChar w:fldCharType="begin"/>
                          </w:r>
                          <w:r>
                            <w:instrText xml:space="preserve"> PAGE \* MERGEFORMAT </w:instrText>
                          </w:r>
                          <w:r>
                            <w:fldChar w:fldCharType="separate"/>
                          </w:r>
                          <w:r>
                            <w:t>#</w:t>
                          </w:r>
                          <w:r>
                            <w:fldChar w:fldCharType="end"/>
                          </w:r>
                          <w:r>
                            <w:t xml:space="preserve"> z 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32" type="#_x0000_t202" style="position:absolute;margin-left:277.3pt;margin-top:827.65pt;width:51.85pt;height:8.1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" filled="f" stroked="f">
              <v:textbox style="mso-fit-shape-to-text:t" inset="0,0,0,0">
                <w:txbxContent>
                  <w:p w:rsidR="004F0025" w:rsidRDefault="00000000">
                    <w:pPr>
                      <w:pStyle w:val="Nagweklubstopka20"/>
                    </w:pPr>
                    <w:r>
                      <w:t xml:space="preserve">Strona </w:t>
                    </w:r>
                    <w:r>
                      <w:fldChar w:fldCharType="begin"/>
                    </w:r>
                    <w:r>
                      <w:instrText xml:space="preserve"> PAGE \* MERGEFORMAT </w:instrText>
                    </w:r>
                    <w:r>
                      <w:fldChar w:fldCharType="separate"/>
                    </w:r>
                    <w:r>
                      <w:t>#</w:t>
                    </w:r>
                    <w:r>
                      <w:fldChar w:fldCharType="end"/>
                    </w:r>
                    <w:r>
                      <w:t xml:space="preserve"> z 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0025"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3521710</wp:posOffset>
              </wp:positionH>
              <wp:positionV relativeFrom="page">
                <wp:posOffset>10511155</wp:posOffset>
              </wp:positionV>
              <wp:extent cx="658495" cy="103505"/>
              <wp:effectExtent l="0" t="0" r="0" b="0"/>
              <wp:wrapNone/>
              <wp:docPr id="5" name="Shape 5"/>
              <wp:cNvGraphicFramePr/>
              <a:graphic xmlns:a="http://schemas.openxmlformats.org/drawingml/2006/main">
                <a:graphicData uri="http://schemas.microsoft.com/office/word/2010/wordprocessingShape">
                  <wps:wsp>
                    <wps:cNvSpPr txBox="1"/>
                    <wps:spPr>
                      <a:xfrm>
                        <a:off x="0" y="0"/>
                        <a:ext cx="658495" cy="103505"/>
                      </a:xfrm>
                      <a:prstGeom prst="rect">
                        <a:avLst/>
                      </a:prstGeom>
                      <a:noFill/>
                    </wps:spPr>
                    <wps:txbx>
                      <w:txbxContent>
                        <w:p w:rsidR="004F0025" w:rsidRDefault="00000000">
                          <w:pPr>
                            <w:pStyle w:val="Nagweklubstopka20"/>
                          </w:pPr>
                          <w:r>
                            <w:t xml:space="preserve">Strona </w:t>
                          </w:r>
                          <w:r>
                            <w:fldChar w:fldCharType="begin"/>
                          </w:r>
                          <w:r>
                            <w:instrText xml:space="preserve"> PAGE \* MERGEFORMAT </w:instrText>
                          </w:r>
                          <w:r>
                            <w:fldChar w:fldCharType="separate"/>
                          </w:r>
                          <w:r>
                            <w:t>#</w:t>
                          </w:r>
                          <w:r>
                            <w:fldChar w:fldCharType="end"/>
                          </w:r>
                          <w:r>
                            <w:t xml:space="preserve"> z 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33" type="#_x0000_t202" style="position:absolute;margin-left:277.3pt;margin-top:827.65pt;width:51.85pt;height:8.1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" filled="f" stroked="f">
              <v:textbox style="mso-fit-shape-to-text:t" inset="0,0,0,0">
                <w:txbxContent>
                  <w:p w:rsidR="004F0025" w:rsidRDefault="00000000">
                    <w:pPr>
                      <w:pStyle w:val="Nagweklubstopka20"/>
                    </w:pPr>
                    <w:r>
                      <w:t xml:space="preserve">Strona </w:t>
                    </w:r>
                    <w:r>
                      <w:fldChar w:fldCharType="begin"/>
                    </w:r>
                    <w:r>
                      <w:instrText xml:space="preserve"> PAGE \* MERGEFORMAT </w:instrText>
                    </w:r>
                    <w:r>
                      <w:fldChar w:fldCharType="separate"/>
                    </w:r>
                    <w:r>
                      <w:t>#</w:t>
                    </w:r>
                    <w:r>
                      <w:fldChar w:fldCharType="end"/>
                    </w:r>
                    <w:r>
                      <w:t xml:space="preserve"> z 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0025" w:rsidRDefault="004F0025">
    <w:pPr>
      <w:spacing w:line="1" w:lineRule="exac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0025" w:rsidRDefault="00000000">
    <w:pPr>
      <w:spacing w:line="1" w:lineRule="exact"/>
    </w:pPr>
    <w:r>
      <w:rPr>
        <w:noProof/>
      </w:rPr>
      <mc:AlternateContent>
        <mc:Choice Requires="wps">
          <w:drawing>
            <wp:anchor distT="0" distB="0" distL="0" distR="0" simplePos="0" relativeHeight="62914694" behindDoc="1" locked="0" layoutInCell="1" allowOverlap="1">
              <wp:simplePos x="0" y="0"/>
              <wp:positionH relativeFrom="page">
                <wp:posOffset>6516370</wp:posOffset>
              </wp:positionH>
              <wp:positionV relativeFrom="page">
                <wp:posOffset>10507980</wp:posOffset>
              </wp:positionV>
              <wp:extent cx="67310" cy="106680"/>
              <wp:effectExtent l="0" t="0" r="0" b="0"/>
              <wp:wrapNone/>
              <wp:docPr id="23" name="Shape 23"/>
              <wp:cNvGraphicFramePr/>
              <a:graphic xmlns:a="http://schemas.openxmlformats.org/drawingml/2006/main">
                <a:graphicData uri="http://schemas.microsoft.com/office/word/2010/wordprocessingShape">
                  <wps:wsp>
                    <wps:cNvSpPr txBox="1"/>
                    <wps:spPr>
                      <a:xfrm>
                        <a:off x="0" y="0"/>
                        <a:ext cx="67310" cy="106680"/>
                      </a:xfrm>
                      <a:prstGeom prst="rect">
                        <a:avLst/>
                      </a:prstGeom>
                      <a:noFill/>
                    </wps:spPr>
                    <wps:txbx>
                      <w:txbxContent>
                        <w:p w:rsidR="004F0025" w:rsidRDefault="00000000">
                          <w:pPr>
                            <w:pStyle w:val="Nagweklubstopka20"/>
                            <w:rPr>
                              <w:sz w:val="22"/>
                              <w:szCs w:val="22"/>
                            </w:rPr>
                          </w:pPr>
                          <w:r>
                            <w:rPr>
                              <w:sz w:val="22"/>
                              <w:szCs w:val="22"/>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34" type="#_x0000_t202" style="position:absolute;margin-left:513.1pt;margin-top:827.4pt;width:5.3pt;height:8.4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" filled="f" stroked="f">
              <v:textbox style="mso-fit-shape-to-text:t" inset="0,0,0,0">
                <w:txbxContent>
                  <w:p w:rsidR="004F0025" w:rsidRDefault="00000000">
                    <w:pPr>
                      <w:pStyle w:val="Nagweklubstopka20"/>
                      <w:rPr>
                        <w:sz w:val="22"/>
                        <w:szCs w:val="22"/>
                      </w:rPr>
                    </w:pPr>
                    <w:r>
                      <w:rPr>
                        <w:sz w:val="22"/>
                        <w:szCs w:val="22"/>
                      </w:rPr>
                      <w:t>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0025" w:rsidRDefault="004F0025">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0F9C" w:rsidRDefault="00E90F9C"/>
  </w:footnote>
  <w:footnote w:type="continuationSeparator" w:id="0">
    <w:p w:rsidR="00E90F9C" w:rsidRDefault="00E90F9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9BF"/>
    <w:multiLevelType w:val="multilevel"/>
    <w:tmpl w:val="68284E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3558C8"/>
    <w:multiLevelType w:val="multilevel"/>
    <w:tmpl w:val="88D4A6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8D1B50"/>
    <w:multiLevelType w:val="multilevel"/>
    <w:tmpl w:val="109814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CD7D8C"/>
    <w:multiLevelType w:val="multilevel"/>
    <w:tmpl w:val="858231FA"/>
    <w:lvl w:ilvl="0">
      <w:start w:val="3"/>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D631595"/>
    <w:multiLevelType w:val="multilevel"/>
    <w:tmpl w:val="702A77B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9502806"/>
    <w:multiLevelType w:val="multilevel"/>
    <w:tmpl w:val="67464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80675C6"/>
    <w:multiLevelType w:val="multilevel"/>
    <w:tmpl w:val="0C4655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A13760A"/>
    <w:multiLevelType w:val="multilevel"/>
    <w:tmpl w:val="6D50EE84"/>
    <w:lvl w:ilvl="0">
      <w:start w:val="10"/>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94209763">
    <w:abstractNumId w:val="4"/>
  </w:num>
  <w:num w:numId="2" w16cid:durableId="1034575418">
    <w:abstractNumId w:val="1"/>
  </w:num>
  <w:num w:numId="3" w16cid:durableId="2034263691">
    <w:abstractNumId w:val="7"/>
  </w:num>
  <w:num w:numId="4" w16cid:durableId="1324167211">
    <w:abstractNumId w:val="3"/>
  </w:num>
  <w:num w:numId="5" w16cid:durableId="1815373377">
    <w:abstractNumId w:val="5"/>
  </w:num>
  <w:num w:numId="6" w16cid:durableId="607664240">
    <w:abstractNumId w:val="0"/>
  </w:num>
  <w:num w:numId="7" w16cid:durableId="609749803">
    <w:abstractNumId w:val="6"/>
  </w:num>
  <w:num w:numId="8" w16cid:durableId="516848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025"/>
    <w:rsid w:val="000673C9"/>
    <w:rsid w:val="00394172"/>
    <w:rsid w:val="004F0025"/>
    <w:rsid w:val="0052341B"/>
    <w:rsid w:val="00706830"/>
    <w:rsid w:val="00942971"/>
    <w:rsid w:val="00E90F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8742"/>
  <w15:docId w15:val="{A2930CAB-E890-4ACF-8ACD-06ADA229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sz w:val="15"/>
      <w:szCs w:val="15"/>
      <w:u w:val="none"/>
    </w:rPr>
  </w:style>
  <w:style w:type="character" w:customStyle="1" w:styleId="Podpisobrazu">
    <w:name w:val="Podpis obrazu_"/>
    <w:basedOn w:val="Domylnaczcionkaakapitu"/>
    <w:link w:val="Podpisobrazu0"/>
    <w:rPr>
      <w:rFonts w:ascii="Arial" w:eastAsia="Arial" w:hAnsi="Arial" w:cs="Arial"/>
      <w:b w:val="0"/>
      <w:bCs w:val="0"/>
      <w:i w:val="0"/>
      <w:iCs w:val="0"/>
      <w:smallCaps w:val="0"/>
      <w:strike w:val="0"/>
      <w:color w:val="C983AF"/>
      <w:sz w:val="17"/>
      <w:szCs w:val="17"/>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strike w:val="0"/>
      <w:color w:val="F57E98"/>
      <w:sz w:val="36"/>
      <w:szCs w:val="36"/>
      <w:u w:val="none"/>
    </w:rPr>
  </w:style>
  <w:style w:type="character" w:customStyle="1" w:styleId="Nagwek3">
    <w:name w:val="Nagłówek #3_"/>
    <w:basedOn w:val="Domylnaczcionkaakapitu"/>
    <w:link w:val="Nagwek30"/>
    <w:rPr>
      <w:rFonts w:ascii="Times New Roman" w:eastAsia="Times New Roman" w:hAnsi="Times New Roman" w:cs="Times New Roman"/>
      <w:b w:val="0"/>
      <w:bCs w:val="0"/>
      <w:i w:val="0"/>
      <w:iCs w:val="0"/>
      <w:smallCaps w:val="0"/>
      <w:strike w:val="0"/>
      <w:color w:val="F57E98"/>
      <w:sz w:val="26"/>
      <w:szCs w:val="26"/>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8"/>
      <w:szCs w:val="28"/>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18"/>
      <w:szCs w:val="18"/>
      <w:u w:val="none"/>
    </w:rPr>
  </w:style>
  <w:style w:type="paragraph" w:customStyle="1" w:styleId="Teksttreci0">
    <w:name w:val="Tekst treści"/>
    <w:basedOn w:val="Normalny"/>
    <w:link w:val="Teksttreci"/>
    <w:pPr>
      <w:spacing w:line="305" w:lineRule="auto"/>
      <w:ind w:firstLine="400"/>
    </w:pPr>
    <w:rPr>
      <w:rFonts w:ascii="Times New Roman" w:eastAsia="Times New Roman" w:hAnsi="Times New Roman" w:cs="Times New Roman"/>
      <w:sz w:val="22"/>
      <w:szCs w:val="22"/>
    </w:rPr>
  </w:style>
  <w:style w:type="paragraph" w:customStyle="1" w:styleId="Teksttreci20">
    <w:name w:val="Tekst treści (2)"/>
    <w:basedOn w:val="Normalny"/>
    <w:link w:val="Teksttreci2"/>
    <w:rPr>
      <w:rFonts w:ascii="Times New Roman" w:eastAsia="Times New Roman" w:hAnsi="Times New Roman" w:cs="Times New Roman"/>
      <w:b/>
      <w:bCs/>
      <w:sz w:val="15"/>
      <w:szCs w:val="15"/>
    </w:rPr>
  </w:style>
  <w:style w:type="paragraph" w:customStyle="1" w:styleId="Podpisobrazu0">
    <w:name w:val="Podpis obrazu"/>
    <w:basedOn w:val="Normalny"/>
    <w:link w:val="Podpisobrazu"/>
    <w:pPr>
      <w:spacing w:line="302" w:lineRule="auto"/>
      <w:jc w:val="center"/>
    </w:pPr>
    <w:rPr>
      <w:rFonts w:ascii="Arial" w:eastAsia="Arial" w:hAnsi="Arial" w:cs="Arial"/>
      <w:color w:val="C983AF"/>
      <w:sz w:val="17"/>
      <w:szCs w:val="17"/>
    </w:rPr>
  </w:style>
  <w:style w:type="paragraph" w:customStyle="1" w:styleId="Nagwek10">
    <w:name w:val="Nagłówek #1"/>
    <w:basedOn w:val="Normalny"/>
    <w:link w:val="Nagwek1"/>
    <w:pPr>
      <w:outlineLvl w:val="0"/>
    </w:pPr>
    <w:rPr>
      <w:rFonts w:ascii="Times New Roman" w:eastAsia="Times New Roman" w:hAnsi="Times New Roman" w:cs="Times New Roman"/>
      <w:smallCaps/>
      <w:color w:val="F57E98"/>
      <w:sz w:val="36"/>
      <w:szCs w:val="36"/>
    </w:rPr>
  </w:style>
  <w:style w:type="paragraph" w:customStyle="1" w:styleId="Nagwek30">
    <w:name w:val="Nagłówek #3"/>
    <w:basedOn w:val="Normalny"/>
    <w:link w:val="Nagwek3"/>
    <w:pPr>
      <w:spacing w:line="204" w:lineRule="auto"/>
      <w:ind w:left="150" w:firstLine="540"/>
      <w:outlineLvl w:val="2"/>
    </w:pPr>
    <w:rPr>
      <w:rFonts w:ascii="Times New Roman" w:eastAsia="Times New Roman" w:hAnsi="Times New Roman" w:cs="Times New Roman"/>
      <w:color w:val="F57E98"/>
      <w:sz w:val="26"/>
      <w:szCs w:val="26"/>
    </w:rPr>
  </w:style>
  <w:style w:type="paragraph" w:customStyle="1" w:styleId="Nagwek20">
    <w:name w:val="Nagłówek #2"/>
    <w:basedOn w:val="Normalny"/>
    <w:link w:val="Nagwek2"/>
    <w:pPr>
      <w:spacing w:after="360" w:line="276" w:lineRule="auto"/>
      <w:jc w:val="center"/>
      <w:outlineLvl w:val="1"/>
    </w:pPr>
    <w:rPr>
      <w:rFonts w:ascii="Times New Roman" w:eastAsia="Times New Roman" w:hAnsi="Times New Roman" w:cs="Times New Roman"/>
      <w:b/>
      <w:bCs/>
      <w:sz w:val="28"/>
      <w:szCs w:val="28"/>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30">
    <w:name w:val="Tekst treści (3)"/>
    <w:basedOn w:val="Normalny"/>
    <w:link w:val="Teksttreci3"/>
    <w:pPr>
      <w:spacing w:after="260"/>
      <w:ind w:left="5560"/>
      <w:jc w:val="right"/>
    </w:pPr>
    <w:rPr>
      <w:rFonts w:ascii="Times New Roman" w:eastAsia="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2023-01-26T09:57:00Z</dcterms:created>
  <dcterms:modified xsi:type="dcterms:W3CDTF">2023-01-26T10:07:00Z</dcterms:modified>
</cp:coreProperties>
</file>