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F5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12700</wp:posOffset>
                </wp:positionV>
                <wp:extent cx="1276985" cy="5759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57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1F5D" w:rsidRDefault="00741F5D">
                            <w:pPr>
                              <w:pStyle w:val="Teksttreci0"/>
                              <w:spacing w:line="223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9pt;margin-top:1pt;width:100.55pt;height:45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" filled="f" stroked="f">
                <v:textbox inset="0,0,0,0">
                  <w:txbxContent>
                    <w:p w:rsidR="00741F5D" w:rsidRDefault="00741F5D">
                      <w:pPr>
                        <w:pStyle w:val="Teksttreci0"/>
                        <w:spacing w:line="223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41F5D" w:rsidRDefault="00000000">
      <w:pPr>
        <w:pStyle w:val="Nagwek20"/>
        <w:keepNext/>
        <w:keepLines/>
        <w:spacing w:line="240" w:lineRule="auto"/>
      </w:pPr>
      <w:bookmarkStart w:id="0" w:name="bookmark0"/>
      <w:r>
        <w:t>Zarządzenie Nr 113/2022</w:t>
      </w:r>
      <w:bookmarkEnd w:id="0"/>
    </w:p>
    <w:p w:rsidR="00741F5D" w:rsidRDefault="00000000">
      <w:pPr>
        <w:pStyle w:val="Teksttreci0"/>
        <w:spacing w:after="1080" w:line="240" w:lineRule="auto"/>
        <w:jc w:val="center"/>
      </w:pPr>
      <w:r>
        <w:t>Burmistrza Gminy i Miasta Węgliniec</w:t>
      </w:r>
      <w:r>
        <w:br/>
        <w:t>z dnia 03.11.2022 r.</w:t>
      </w:r>
    </w:p>
    <w:p w:rsidR="00741F5D" w:rsidRDefault="00000000">
      <w:pPr>
        <w:pStyle w:val="Nagwek20"/>
        <w:keepNext/>
        <w:keepLines/>
        <w:spacing w:after="420"/>
        <w:jc w:val="both"/>
      </w:pPr>
      <w:bookmarkStart w:id="1" w:name="bookmark2"/>
      <w:r>
        <w:t>w sprawie przeprowadzenia inwentaryzacji w Urzędzie Gminy i Miasta w Węglińcu.</w:t>
      </w:r>
      <w:bookmarkEnd w:id="1"/>
    </w:p>
    <w:p w:rsidR="00741F5D" w:rsidRDefault="00000000">
      <w:pPr>
        <w:pStyle w:val="Teksttreci0"/>
        <w:jc w:val="both"/>
      </w:pPr>
      <w:r>
        <w:t xml:space="preserve">Na podstawie art. 26 i 27 ustawy z dnia 29.09.1994r. o rachunkowości (Dz.U z 2021r., poz.217 z </w:t>
      </w:r>
      <w:proofErr w:type="spellStart"/>
      <w:r>
        <w:t>późn</w:t>
      </w:r>
      <w:proofErr w:type="spellEnd"/>
      <w:r>
        <w:t>. zm.) oraz zarządzenia Nr 09/04 Burmistrza Gminy i Miasta Węgliniec z dnia 30.04.2004r w sprawie instrukcji dotyczącej gospodarki majątkiem trwałym, inwentaryzacji majątku i zasad odpowiedzialności za powierzone mienie w Urzędzie Gminy i Miasta w</w:t>
      </w:r>
    </w:p>
    <w:p w:rsidR="00741F5D" w:rsidRDefault="00000000">
      <w:pPr>
        <w:pStyle w:val="Teksttreci0"/>
        <w:spacing w:after="460"/>
        <w:jc w:val="both"/>
      </w:pPr>
      <w:r>
        <w:t xml:space="preserve">Węglińcu </w:t>
      </w:r>
      <w:r>
        <w:rPr>
          <w:b/>
          <w:bCs/>
        </w:rPr>
        <w:t>zarządzam, co następuje :</w:t>
      </w:r>
    </w:p>
    <w:p w:rsidR="00741F5D" w:rsidRDefault="00741F5D">
      <w:pPr>
        <w:pStyle w:val="Nagwek20"/>
        <w:keepNext/>
        <w:keepLines/>
        <w:numPr>
          <w:ilvl w:val="0"/>
          <w:numId w:val="1"/>
        </w:numPr>
        <w:spacing w:after="80" w:line="240" w:lineRule="auto"/>
      </w:pPr>
    </w:p>
    <w:p w:rsidR="00741F5D" w:rsidRDefault="00000000">
      <w:pPr>
        <w:pStyle w:val="Teksttreci0"/>
        <w:spacing w:after="120" w:line="240" w:lineRule="auto"/>
        <w:jc w:val="both"/>
      </w:pPr>
      <w:r>
        <w:t>Zarządzam przeprowadzenie inwentaryzacji składników majątkowych w Urzędzie Gminy i</w:t>
      </w:r>
    </w:p>
    <w:p w:rsidR="00741F5D" w:rsidRDefault="00000000">
      <w:pPr>
        <w:pStyle w:val="Teksttreci0"/>
      </w:pPr>
      <w:r>
        <w:t>Miasta w Węglińcu przez komisję inwentaryzacyjną w następującym składzie osobowym:</w:t>
      </w:r>
    </w:p>
    <w:p w:rsidR="00741F5D" w:rsidRDefault="00000000">
      <w:pPr>
        <w:pStyle w:val="Teksttreci0"/>
        <w:numPr>
          <w:ilvl w:val="0"/>
          <w:numId w:val="2"/>
        </w:numPr>
        <w:tabs>
          <w:tab w:val="left" w:pos="659"/>
          <w:tab w:val="center" w:pos="3008"/>
          <w:tab w:val="left" w:pos="3208"/>
        </w:tabs>
        <w:ind w:firstLine="320"/>
        <w:jc w:val="both"/>
      </w:pPr>
      <w:r>
        <w:t>Czapiewska Barbara</w:t>
      </w:r>
      <w:r>
        <w:tab/>
        <w:t>-</w:t>
      </w:r>
      <w:r>
        <w:tab/>
        <w:t>przewodniczący,</w:t>
      </w:r>
    </w:p>
    <w:p w:rsidR="00741F5D" w:rsidRDefault="00000000">
      <w:pPr>
        <w:pStyle w:val="Teksttreci0"/>
        <w:numPr>
          <w:ilvl w:val="0"/>
          <w:numId w:val="2"/>
        </w:numPr>
        <w:tabs>
          <w:tab w:val="left" w:pos="683"/>
          <w:tab w:val="center" w:pos="3008"/>
          <w:tab w:val="left" w:pos="3242"/>
        </w:tabs>
        <w:ind w:firstLine="320"/>
        <w:jc w:val="both"/>
      </w:pPr>
      <w:r>
        <w:t>Bogacz Beata</w:t>
      </w:r>
      <w:r>
        <w:tab/>
        <w:t>-</w:t>
      </w:r>
      <w:r>
        <w:tab/>
        <w:t>członek,</w:t>
      </w:r>
    </w:p>
    <w:p w:rsidR="00741F5D" w:rsidRDefault="00000000">
      <w:pPr>
        <w:pStyle w:val="Teksttreci0"/>
        <w:numPr>
          <w:ilvl w:val="0"/>
          <w:numId w:val="2"/>
        </w:numPr>
        <w:tabs>
          <w:tab w:val="left" w:pos="669"/>
          <w:tab w:val="center" w:pos="3008"/>
          <w:tab w:val="left" w:pos="3227"/>
        </w:tabs>
        <w:ind w:firstLine="320"/>
        <w:jc w:val="both"/>
      </w:pPr>
      <w:r>
        <w:t>Justyna Bogdanowicz</w:t>
      </w:r>
      <w:r>
        <w:tab/>
        <w:t>-</w:t>
      </w:r>
      <w:r>
        <w:tab/>
        <w:t>członek;</w:t>
      </w:r>
    </w:p>
    <w:p w:rsidR="00741F5D" w:rsidRDefault="00000000">
      <w:pPr>
        <w:pStyle w:val="Teksttreci0"/>
        <w:spacing w:after="420"/>
      </w:pPr>
      <w:r>
        <w:t>w terminie od dnia 01.12.2022r. do dnia 31.12.2022r.</w:t>
      </w:r>
    </w:p>
    <w:p w:rsidR="00741F5D" w:rsidRDefault="00741F5D">
      <w:pPr>
        <w:pStyle w:val="Nagwek20"/>
        <w:keepNext/>
        <w:keepLines/>
        <w:numPr>
          <w:ilvl w:val="0"/>
          <w:numId w:val="1"/>
        </w:numPr>
      </w:pPr>
    </w:p>
    <w:p w:rsidR="00741F5D" w:rsidRDefault="00000000">
      <w:pPr>
        <w:pStyle w:val="Teksttreci0"/>
        <w:numPr>
          <w:ilvl w:val="0"/>
          <w:numId w:val="3"/>
        </w:numPr>
        <w:tabs>
          <w:tab w:val="left" w:pos="659"/>
        </w:tabs>
        <w:ind w:firstLine="320"/>
        <w:jc w:val="both"/>
      </w:pPr>
      <w:r>
        <w:t>Inwentaryzacją należy objąć następujące składniki majątkowe :</w:t>
      </w:r>
    </w:p>
    <w:p w:rsidR="00741F5D" w:rsidRDefault="00000000">
      <w:pPr>
        <w:pStyle w:val="Teksttreci0"/>
        <w:numPr>
          <w:ilvl w:val="0"/>
          <w:numId w:val="4"/>
        </w:numPr>
        <w:tabs>
          <w:tab w:val="left" w:pos="1038"/>
        </w:tabs>
        <w:ind w:firstLine="680"/>
        <w:jc w:val="both"/>
      </w:pPr>
      <w:r>
        <w:t>środki trwałe oraz wartości niematerialne i prawne,</w:t>
      </w:r>
    </w:p>
    <w:p w:rsidR="00741F5D" w:rsidRDefault="00000000">
      <w:pPr>
        <w:pStyle w:val="Teksttreci0"/>
        <w:numPr>
          <w:ilvl w:val="0"/>
          <w:numId w:val="4"/>
        </w:numPr>
        <w:tabs>
          <w:tab w:val="left" w:pos="1062"/>
        </w:tabs>
        <w:ind w:firstLine="680"/>
        <w:jc w:val="both"/>
      </w:pPr>
      <w:r>
        <w:t>środki trwałe w używaniu,</w:t>
      </w:r>
    </w:p>
    <w:p w:rsidR="00741F5D" w:rsidRDefault="00000000">
      <w:pPr>
        <w:pStyle w:val="Teksttreci0"/>
        <w:numPr>
          <w:ilvl w:val="0"/>
          <w:numId w:val="4"/>
        </w:numPr>
        <w:tabs>
          <w:tab w:val="left" w:pos="1067"/>
        </w:tabs>
        <w:ind w:firstLine="680"/>
        <w:jc w:val="both"/>
      </w:pPr>
      <w:r>
        <w:t>środki pieniężne,</w:t>
      </w:r>
    </w:p>
    <w:p w:rsidR="00741F5D" w:rsidRDefault="00000000">
      <w:pPr>
        <w:pStyle w:val="Teksttreci0"/>
        <w:numPr>
          <w:ilvl w:val="0"/>
          <w:numId w:val="4"/>
        </w:numPr>
        <w:tabs>
          <w:tab w:val="left" w:pos="1062"/>
        </w:tabs>
        <w:ind w:firstLine="680"/>
        <w:jc w:val="both"/>
      </w:pPr>
      <w:r>
        <w:t>należności i zobowiązania,</w:t>
      </w:r>
    </w:p>
    <w:p w:rsidR="00741F5D" w:rsidRDefault="00000000">
      <w:pPr>
        <w:pStyle w:val="Teksttreci0"/>
        <w:numPr>
          <w:ilvl w:val="0"/>
          <w:numId w:val="4"/>
        </w:numPr>
        <w:tabs>
          <w:tab w:val="left" w:pos="1058"/>
        </w:tabs>
        <w:ind w:firstLine="680"/>
        <w:jc w:val="both"/>
      </w:pPr>
      <w:r>
        <w:t>środki trwałe w budowie,</w:t>
      </w:r>
    </w:p>
    <w:p w:rsidR="00741F5D" w:rsidRDefault="00000000">
      <w:pPr>
        <w:pStyle w:val="Teksttreci0"/>
        <w:numPr>
          <w:ilvl w:val="0"/>
          <w:numId w:val="4"/>
        </w:numPr>
        <w:tabs>
          <w:tab w:val="left" w:pos="1062"/>
        </w:tabs>
        <w:ind w:firstLine="680"/>
        <w:jc w:val="both"/>
      </w:pPr>
      <w:r>
        <w:t>druki ścisłego zarachowania</w:t>
      </w:r>
    </w:p>
    <w:p w:rsidR="00741F5D" w:rsidRDefault="00000000">
      <w:pPr>
        <w:pStyle w:val="Teksttreci0"/>
        <w:numPr>
          <w:ilvl w:val="0"/>
          <w:numId w:val="3"/>
        </w:numPr>
        <w:tabs>
          <w:tab w:val="left" w:pos="703"/>
        </w:tabs>
        <w:ind w:left="680" w:hanging="340"/>
        <w:jc w:val="both"/>
      </w:pPr>
      <w:r>
        <w:t xml:space="preserve">Inwentaryzację składników majątkowych określonych w §2 </w:t>
      </w:r>
      <w:proofErr w:type="spellStart"/>
      <w:r>
        <w:t>ust.l</w:t>
      </w:r>
      <w:proofErr w:type="spellEnd"/>
      <w:r>
        <w:t xml:space="preserve"> pkt 1 i 2 należy sporządzić wg stanu na dzień 30.11.2022r.</w:t>
      </w:r>
    </w:p>
    <w:p w:rsidR="00741F5D" w:rsidRDefault="00000000">
      <w:pPr>
        <w:pStyle w:val="Teksttreci0"/>
        <w:numPr>
          <w:ilvl w:val="0"/>
          <w:numId w:val="3"/>
        </w:numPr>
        <w:tabs>
          <w:tab w:val="left" w:pos="698"/>
        </w:tabs>
        <w:spacing w:after="260"/>
        <w:ind w:left="680" w:hanging="340"/>
        <w:jc w:val="both"/>
      </w:pPr>
      <w:r>
        <w:t xml:space="preserve">Inwentaryzację składników majątkowych określonych w §2 </w:t>
      </w:r>
      <w:proofErr w:type="spellStart"/>
      <w:r>
        <w:t>ust.l</w:t>
      </w:r>
      <w:proofErr w:type="spellEnd"/>
      <w:r>
        <w:t xml:space="preserve"> pkt 3-6 nalży sporządzić wg stanu na dzień 31.12.2022r.</w:t>
      </w:r>
    </w:p>
    <w:p w:rsidR="00741F5D" w:rsidRDefault="00741F5D">
      <w:pPr>
        <w:pStyle w:val="Nagwek20"/>
        <w:keepNext/>
        <w:keepLines/>
        <w:numPr>
          <w:ilvl w:val="0"/>
          <w:numId w:val="1"/>
        </w:numPr>
        <w:spacing w:after="80" w:line="240" w:lineRule="auto"/>
      </w:pPr>
    </w:p>
    <w:p w:rsidR="00741F5D" w:rsidRDefault="00000000">
      <w:pPr>
        <w:pStyle w:val="Teksttreci0"/>
        <w:numPr>
          <w:ilvl w:val="0"/>
          <w:numId w:val="5"/>
        </w:numPr>
        <w:tabs>
          <w:tab w:val="left" w:pos="346"/>
        </w:tabs>
        <w:jc w:val="both"/>
      </w:pPr>
      <w:r>
        <w:t>Składniki majątkowe wymienione w §2 ust. 1 pkt 1 należy przeprowadzić metodą spisu z natury przez komisję inwentaryzacyjną powołaną w §1.</w:t>
      </w:r>
    </w:p>
    <w:p w:rsidR="00741F5D" w:rsidRDefault="00000000">
      <w:pPr>
        <w:pStyle w:val="Teksttreci0"/>
        <w:numPr>
          <w:ilvl w:val="0"/>
          <w:numId w:val="5"/>
        </w:numPr>
        <w:tabs>
          <w:tab w:val="left" w:pos="346"/>
        </w:tabs>
        <w:jc w:val="both"/>
      </w:pPr>
      <w:r>
        <w:t>Składniki majątkowe wymienione w §2 ust. 1 pkt 2 należy spisać na arkuszach spisu z natury przez komisję inwentaryzacyjną powołaną w §1 i odesłać właścicielowi środka trwałego.</w:t>
      </w:r>
    </w:p>
    <w:p w:rsidR="00741F5D" w:rsidRDefault="00000000">
      <w:pPr>
        <w:pStyle w:val="Teksttreci0"/>
        <w:numPr>
          <w:ilvl w:val="0"/>
          <w:numId w:val="5"/>
        </w:numPr>
        <w:tabs>
          <w:tab w:val="left" w:pos="346"/>
        </w:tabs>
        <w:jc w:val="both"/>
      </w:pPr>
      <w:r>
        <w:t>Inwentaryzację składników majątkowych wymienionych w §2 ust. 1 pkt 3 należy przeprowadzić w drodze potwierdzenia salda z bankiem.</w:t>
      </w:r>
    </w:p>
    <w:p w:rsidR="00741F5D" w:rsidRDefault="00000000">
      <w:pPr>
        <w:pStyle w:val="Teksttreci0"/>
        <w:numPr>
          <w:ilvl w:val="0"/>
          <w:numId w:val="5"/>
        </w:numPr>
        <w:tabs>
          <w:tab w:val="left" w:pos="346"/>
        </w:tabs>
        <w:jc w:val="both"/>
      </w:pPr>
      <w:r>
        <w:t>Inwentaryzację składników majątkowych wymienionych w §2ust. 1 pkt 4 tj. należności należy przeprowadzić w drodze uzyskania potwierdzenia sald od kontrahentów. Natomiast zobowiązania , należności skierowanie na drogę sądową od osób nie prowadzących ksiąg rachunkowych oraz rozrachunki publicznoprawne i z pracownikami należy przeprowadzić w drodze porównania stanu faktycznego z danymi wynikającymi z ksiąg.</w:t>
      </w:r>
    </w:p>
    <w:p w:rsidR="00741F5D" w:rsidRDefault="00000000">
      <w:pPr>
        <w:pStyle w:val="Teksttreci0"/>
        <w:numPr>
          <w:ilvl w:val="0"/>
          <w:numId w:val="5"/>
        </w:numPr>
        <w:tabs>
          <w:tab w:val="left" w:pos="346"/>
        </w:tabs>
        <w:jc w:val="both"/>
      </w:pPr>
      <w:r>
        <w:t>Inwentaryzację składników majątkowych wymienionych w §2 ust. 1 pkt 5 należy przeprowadzić przez porównanie stanu faktycznego za stanem wynikającym z ksiąg rachunkowych.</w:t>
      </w:r>
    </w:p>
    <w:p w:rsidR="00741F5D" w:rsidRDefault="00000000">
      <w:pPr>
        <w:pStyle w:val="Teksttreci0"/>
        <w:numPr>
          <w:ilvl w:val="0"/>
          <w:numId w:val="5"/>
        </w:numPr>
        <w:tabs>
          <w:tab w:val="left" w:pos="341"/>
        </w:tabs>
        <w:spacing w:after="440"/>
        <w:jc w:val="both"/>
      </w:pPr>
      <w:r>
        <w:t>Inwentaryzację składników majątkowych wymienionych w §2 ust. 1 pkt 6 należy przeprowadzić przez komisję inwentaryzacyjną powołaną w §1.</w:t>
      </w:r>
    </w:p>
    <w:p w:rsidR="00741F5D" w:rsidRDefault="00741F5D">
      <w:pPr>
        <w:pStyle w:val="Nagwek20"/>
        <w:keepNext/>
        <w:keepLines/>
        <w:numPr>
          <w:ilvl w:val="0"/>
          <w:numId w:val="1"/>
        </w:numPr>
      </w:pPr>
    </w:p>
    <w:p w:rsidR="00741F5D" w:rsidRDefault="00000000">
      <w:pPr>
        <w:pStyle w:val="Teksttreci0"/>
        <w:spacing w:after="440"/>
        <w:jc w:val="both"/>
      </w:pPr>
      <w:r>
        <w:t>Arkusze spisowe pobierze przewodniczący komisji inwentaryzacyjnej w referacie finansowo- księgowym w terminie do dnia 30.11.2022 r.</w:t>
      </w:r>
    </w:p>
    <w:p w:rsidR="00741F5D" w:rsidRDefault="00741F5D">
      <w:pPr>
        <w:pStyle w:val="Nagwek20"/>
        <w:keepNext/>
        <w:keepLines/>
        <w:numPr>
          <w:ilvl w:val="0"/>
          <w:numId w:val="1"/>
        </w:numPr>
      </w:pPr>
    </w:p>
    <w:p w:rsidR="00741F5D" w:rsidRDefault="00000000">
      <w:pPr>
        <w:pStyle w:val="Teksttreci0"/>
        <w:jc w:val="both"/>
      </w:pPr>
      <w:r>
        <w:t>Zobowiązuję komisję do:</w:t>
      </w:r>
    </w:p>
    <w:p w:rsidR="00741F5D" w:rsidRDefault="00000000">
      <w:pPr>
        <w:pStyle w:val="Teksttreci0"/>
        <w:numPr>
          <w:ilvl w:val="0"/>
          <w:numId w:val="6"/>
        </w:numPr>
        <w:tabs>
          <w:tab w:val="left" w:pos="307"/>
        </w:tabs>
        <w:ind w:left="400" w:hanging="400"/>
        <w:jc w:val="both"/>
      </w:pPr>
      <w:r>
        <w:t>Przeprowadzenia inwentaryzacji przy czynnym udziale osób materialnie odpowiedzialnych.</w:t>
      </w:r>
    </w:p>
    <w:p w:rsidR="00741F5D" w:rsidRDefault="00000000">
      <w:pPr>
        <w:pStyle w:val="Teksttreci0"/>
        <w:numPr>
          <w:ilvl w:val="0"/>
          <w:numId w:val="6"/>
        </w:numPr>
        <w:tabs>
          <w:tab w:val="left" w:pos="336"/>
        </w:tabs>
        <w:ind w:left="400" w:hanging="400"/>
        <w:jc w:val="both"/>
      </w:pPr>
      <w:r>
        <w:t>Przestrzegania ogólnie obowiązujących przepisów o inwentaryzacji oraz zasad i sposobów postępowania określonych w instrukcji w sprawie gospodarki majątkiem Gminy, inwentaryzacji majątku i zasad odpowiedzialności za powierzone mienie.</w:t>
      </w:r>
    </w:p>
    <w:p w:rsidR="00741F5D" w:rsidRDefault="00000000">
      <w:pPr>
        <w:pStyle w:val="Teksttreci0"/>
        <w:numPr>
          <w:ilvl w:val="0"/>
          <w:numId w:val="6"/>
        </w:numPr>
        <w:tabs>
          <w:tab w:val="left" w:pos="322"/>
        </w:tabs>
        <w:jc w:val="both"/>
      </w:pPr>
      <w:r>
        <w:t>Dokonania ostatecznej wyceny składników majątkowych.</w:t>
      </w:r>
    </w:p>
    <w:p w:rsidR="00741F5D" w:rsidRDefault="00000000">
      <w:pPr>
        <w:pStyle w:val="Teksttreci0"/>
        <w:numPr>
          <w:ilvl w:val="0"/>
          <w:numId w:val="6"/>
        </w:numPr>
        <w:tabs>
          <w:tab w:val="left" w:pos="336"/>
        </w:tabs>
        <w:spacing w:after="440"/>
        <w:ind w:left="400" w:hanging="400"/>
        <w:jc w:val="both"/>
      </w:pPr>
      <w:r>
        <w:t>Przekazania kompletnej dokumentacji inwentaryzacyjnej do Referatu Finansów Budżetu w terminie pięciu dni po zakończeniu spisu.</w:t>
      </w:r>
      <w:r>
        <w:br w:type="page"/>
      </w:r>
    </w:p>
    <w:p w:rsidR="00741F5D" w:rsidRDefault="00741F5D">
      <w:pPr>
        <w:pStyle w:val="Nagwek20"/>
        <w:keepNext/>
        <w:keepLines/>
        <w:numPr>
          <w:ilvl w:val="0"/>
          <w:numId w:val="1"/>
        </w:numPr>
      </w:pPr>
    </w:p>
    <w:p w:rsidR="00741F5D" w:rsidRDefault="00000000">
      <w:pPr>
        <w:pStyle w:val="Teksttreci0"/>
        <w:spacing w:after="440"/>
        <w:jc w:val="both"/>
      </w:pPr>
      <w:r>
        <w:t>Członków komisji czynię odpowiedzialnymi za właściwe, dokładne i rzetelne przeprowadzenie inwentaryzacji, zgodnie ze stanem faktycznym, a przewodniczącego komisji zobowiązuję do sporządzenia protokołów końcowych z przeprowadzenia inwentaryzacji aktywów i pasywów.</w:t>
      </w:r>
    </w:p>
    <w:p w:rsidR="00741F5D" w:rsidRDefault="00741F5D">
      <w:pPr>
        <w:pStyle w:val="Nagwek20"/>
        <w:keepNext/>
        <w:keepLines/>
        <w:numPr>
          <w:ilvl w:val="0"/>
          <w:numId w:val="1"/>
        </w:numPr>
        <w:spacing w:after="80" w:line="240" w:lineRule="auto"/>
      </w:pPr>
    </w:p>
    <w:p w:rsidR="00741F5D" w:rsidRDefault="00000000">
      <w:pPr>
        <w:pStyle w:val="Teksttreci0"/>
        <w:spacing w:after="560" w:line="240" w:lineRule="auto"/>
        <w:jc w:val="both"/>
      </w:pPr>
      <w:r>
        <w:t>Wykonanie zarządzenia powierzam Skarbnikowi Gminy i Miasta Węgliniec.</w:t>
      </w:r>
    </w:p>
    <w:p w:rsidR="00741F5D" w:rsidRDefault="00741F5D">
      <w:pPr>
        <w:pStyle w:val="Nagwek20"/>
        <w:keepNext/>
        <w:keepLines/>
        <w:numPr>
          <w:ilvl w:val="0"/>
          <w:numId w:val="1"/>
        </w:numPr>
      </w:pPr>
    </w:p>
    <w:p w:rsidR="00741F5D" w:rsidRDefault="00000000">
      <w:pPr>
        <w:pStyle w:val="Teksttreci0"/>
        <w:spacing w:after="17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800100</wp:posOffset>
                </wp:positionV>
                <wp:extent cx="1652270" cy="1949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1F5D" w:rsidRDefault="00000000">
                            <w:pPr>
                              <w:pStyle w:val="Podpisobrazu0"/>
                            </w:pPr>
                            <w:r>
                              <w:t>Otrzymują do wykonania 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72.8pt;margin-top:63pt;width:130.1pt;height:15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" filled="f" stroked="f">
                <v:textbox inset="0,0,0,0">
                  <w:txbxContent>
                    <w:p w:rsidR="00741F5D" w:rsidRDefault="00000000">
                      <w:pPr>
                        <w:pStyle w:val="Podpisobrazu0"/>
                      </w:pPr>
                      <w:r>
                        <w:t>Otrzymują do wykonania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Zarządzenie wchodzi w życie z dniem podjęcia.</w:t>
      </w:r>
    </w:p>
    <w:p w:rsidR="00741F5D" w:rsidRDefault="00C74A52">
      <w:pPr>
        <w:pStyle w:val="Teksttreci0"/>
        <w:spacing w:after="1260" w:line="240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756920</wp:posOffset>
                </wp:positionV>
                <wp:extent cx="1283335" cy="17970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1F5D" w:rsidRDefault="00000000">
                            <w:pPr>
                              <w:pStyle w:val="Podpisobrazu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(data i podpis komisji)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72.8pt;margin-top:59.6pt;width:101.05pt;height:14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" filled="f" stroked="f">
                <v:textbox inset="0,0,0,0">
                  <w:txbxContent>
                    <w:p w:rsidR="00741F5D" w:rsidRDefault="00000000">
                      <w:pPr>
                        <w:pStyle w:val="Podpisobrazu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(data i podpis komisji)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sz w:val="22"/>
          <w:szCs w:val="22"/>
        </w:rPr>
        <w:t xml:space="preserve">                                                 </w:t>
      </w:r>
      <w:r w:rsidR="00000000">
        <w:rPr>
          <w:i/>
          <w:iCs/>
          <w:sz w:val="22"/>
          <w:szCs w:val="22"/>
        </w:rPr>
        <w:t>(pieczęć imienna i podpis kierownika jednostki)</w:t>
      </w:r>
    </w:p>
    <w:p w:rsidR="00741F5D" w:rsidRDefault="00000000">
      <w:pPr>
        <w:pStyle w:val="Teksttreci0"/>
        <w:spacing w:after="560" w:line="240" w:lineRule="auto"/>
        <w:jc w:val="both"/>
      </w:pPr>
      <w:r>
        <w:t>Otrzymują do wiadomości:</w:t>
      </w:r>
    </w:p>
    <w:p w:rsidR="00741F5D" w:rsidRDefault="00000000">
      <w:pPr>
        <w:pStyle w:val="Teksttreci0"/>
        <w:numPr>
          <w:ilvl w:val="0"/>
          <w:numId w:val="7"/>
        </w:numPr>
        <w:tabs>
          <w:tab w:val="left" w:pos="330"/>
        </w:tabs>
        <w:spacing w:after="120" w:line="240" w:lineRule="auto"/>
        <w:jc w:val="both"/>
      </w:pPr>
      <w:r>
        <w:t>Główny Księgowy Urzędu</w:t>
      </w:r>
    </w:p>
    <w:p w:rsidR="00741F5D" w:rsidRDefault="00000000">
      <w:pPr>
        <w:pStyle w:val="Teksttreci0"/>
        <w:numPr>
          <w:ilvl w:val="0"/>
          <w:numId w:val="7"/>
        </w:numPr>
        <w:tabs>
          <w:tab w:val="left" w:pos="358"/>
        </w:tabs>
        <w:spacing w:after="120" w:line="240" w:lineRule="auto"/>
      </w:pPr>
      <w:r>
        <w:t>Skarbnik Gminy</w:t>
      </w:r>
    </w:p>
    <w:p w:rsidR="00741F5D" w:rsidRDefault="00000000">
      <w:pPr>
        <w:pStyle w:val="Teksttreci0"/>
        <w:numPr>
          <w:ilvl w:val="0"/>
          <w:numId w:val="7"/>
        </w:numPr>
        <w:tabs>
          <w:tab w:val="left" w:pos="349"/>
        </w:tabs>
        <w:spacing w:after="560" w:line="240" w:lineRule="auto"/>
      </w:pPr>
      <w:r>
        <w:t>Sekretarz Gminy</w:t>
      </w:r>
    </w:p>
    <w:p w:rsidR="00741F5D" w:rsidRDefault="00000000">
      <w:pPr>
        <w:pStyle w:val="Teksttreci20"/>
        <w:spacing w:after="80"/>
      </w:pPr>
      <w:r>
        <w:t>Sporządziła:</w:t>
      </w:r>
    </w:p>
    <w:p w:rsidR="00741F5D" w:rsidRDefault="00000000">
      <w:pPr>
        <w:pStyle w:val="Teksttreci20"/>
        <w:spacing w:after="0"/>
      </w:pPr>
      <w:r>
        <w:t xml:space="preserve">Agnieszka </w:t>
      </w:r>
      <w:proofErr w:type="spellStart"/>
      <w:r>
        <w:t>Ga</w:t>
      </w:r>
      <w:r w:rsidR="00C74A52">
        <w:t>r</w:t>
      </w:r>
      <w:r>
        <w:t>gaś</w:t>
      </w:r>
      <w:proofErr w:type="spellEnd"/>
    </w:p>
    <w:sectPr w:rsidR="00741F5D">
      <w:pgSz w:w="11900" w:h="16840"/>
      <w:pgMar w:top="1428" w:right="1306" w:bottom="1598" w:left="1412" w:header="1000" w:footer="1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05E" w:rsidRDefault="009B105E">
      <w:r>
        <w:separator/>
      </w:r>
    </w:p>
  </w:endnote>
  <w:endnote w:type="continuationSeparator" w:id="0">
    <w:p w:rsidR="009B105E" w:rsidRDefault="009B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05E" w:rsidRDefault="009B105E"/>
  </w:footnote>
  <w:footnote w:type="continuationSeparator" w:id="0">
    <w:p w:rsidR="009B105E" w:rsidRDefault="009B10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191"/>
    <w:multiLevelType w:val="multilevel"/>
    <w:tmpl w:val="25A20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0063F"/>
    <w:multiLevelType w:val="multilevel"/>
    <w:tmpl w:val="8BE2C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95AA3"/>
    <w:multiLevelType w:val="multilevel"/>
    <w:tmpl w:val="C99CE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939FE"/>
    <w:multiLevelType w:val="multilevel"/>
    <w:tmpl w:val="1F102C26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A3EA3"/>
    <w:multiLevelType w:val="multilevel"/>
    <w:tmpl w:val="6FB4E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1A2992"/>
    <w:multiLevelType w:val="multilevel"/>
    <w:tmpl w:val="1CBCA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314F9F"/>
    <w:multiLevelType w:val="multilevel"/>
    <w:tmpl w:val="79D07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4762194">
    <w:abstractNumId w:val="3"/>
  </w:num>
  <w:num w:numId="2" w16cid:durableId="2118793102">
    <w:abstractNumId w:val="4"/>
  </w:num>
  <w:num w:numId="3" w16cid:durableId="1280601430">
    <w:abstractNumId w:val="1"/>
  </w:num>
  <w:num w:numId="4" w16cid:durableId="684751291">
    <w:abstractNumId w:val="2"/>
  </w:num>
  <w:num w:numId="5" w16cid:durableId="1008362808">
    <w:abstractNumId w:val="5"/>
  </w:num>
  <w:num w:numId="6" w16cid:durableId="468785494">
    <w:abstractNumId w:val="0"/>
  </w:num>
  <w:num w:numId="7" w16cid:durableId="952708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D"/>
    <w:rsid w:val="00741F5D"/>
    <w:rsid w:val="009B105E"/>
    <w:rsid w:val="00C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ACE1"/>
  <w15:docId w15:val="{0D34A154-9C47-41F6-8A53-A020BBB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EB9DB9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60B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jc w:val="center"/>
    </w:pPr>
    <w:rPr>
      <w:rFonts w:ascii="Arial" w:eastAsia="Arial" w:hAnsi="Arial" w:cs="Arial"/>
      <w:color w:val="EB9DB9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80" w:line="180" w:lineRule="auto"/>
      <w:jc w:val="center"/>
      <w:outlineLvl w:val="0"/>
    </w:pPr>
    <w:rPr>
      <w:rFonts w:ascii="Times New Roman" w:eastAsia="Times New Roman" w:hAnsi="Times New Roman" w:cs="Times New Roman"/>
      <w:color w:val="6060B0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40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2023-01-27T12:04:00Z</dcterms:created>
  <dcterms:modified xsi:type="dcterms:W3CDTF">2023-01-27T12:06:00Z</dcterms:modified>
</cp:coreProperties>
</file>