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b/>
          <w:bCs/>
          <w:color w:val="000000"/>
          <w:sz w:val="14"/>
          <w:szCs w:val="14"/>
          <w:lang w:eastAsia="pl-PL"/>
        </w:rPr>
        <w:t xml:space="preserve">Petycja </w:t>
      </w:r>
      <w:bookmarkStart w:id="0" w:name="_GoBack"/>
      <w:bookmarkEnd w:id="0"/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 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§2) W trybie Ustawy o petycjach (Dz.U.2018.870 tj. z dnia 2018.05.10)  -  biorąc pod uwagę, iż dbałość o zdrowie i komfort Pacjentów/Personel/Interesantów, Pracowników Urzędu, uczniów w szkołach publicznych, </w:t>
      </w:r>
      <w:proofErr w:type="spellStart"/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etc</w:t>
      </w:r>
      <w:proofErr w:type="spellEnd"/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-  należy z pewnością do wartości wymagających szczególnej ochrony w imię dobra wspólnego, mieszczących się w zakresie zadań i kompetencji adresata petycji - wnosimy o: 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§2.1) Wykonanie rekonesansu w obszarze związanym z potrzebą udostępniania przez Placówkę  urządzeń wyżej wzmiankowanych - służących do dezynfekcji powietrza w miejscach użyteczności publicznej (niszczenia wirusów i patogenów) - jak wyżej opisano oraz o cenach jakie obecnie stosowane są na rynku - z uwzględnieniem zasad uczciwej konkurencji i maksymalizacji możliwych do uzyskania oszczędności środków publicznych w ramach racjonalnego i </w:t>
      </w:r>
      <w:proofErr w:type="spellStart"/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gospdarnego</w:t>
      </w:r>
      <w:proofErr w:type="spellEnd"/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wydatkowania środków Podatników. 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 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 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Oczywiście ABY NASZA PETYCJA NIE BYŁA W ŻADNYM RAZIE ŁĄCZONA Z PÓŹNIEJSZYM trybem zamówienia  nie musimy dodawać, że jesteśmy przekonani, iż postępowanie będzie prowadzone z uwzględnieniem zasad uczciwej konkurencji - i o wyborze oferenta będą decydować jedynie  ustalone przez decydentów kryteria związane </w:t>
      </w:r>
      <w:proofErr w:type="spellStart"/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inter</w:t>
      </w:r>
      <w:proofErr w:type="spellEnd"/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proofErr w:type="spellStart"/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alia</w:t>
      </w:r>
      <w:proofErr w:type="spellEnd"/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z aktualnym stanem prawnym, bezpieczeństwem oraz racjonalnym wydatkowaniem środków publicznych i maksymalizacją możliwych do uzyskania oszczędności. 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 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§2.2) </w:t>
      </w:r>
      <w:r w:rsidRPr="00D51418">
        <w:rPr>
          <w:rFonts w:ascii="Arial" w:eastAsia="Times New Roman" w:hAnsi="Arial" w:cs="Arial"/>
          <w:b/>
          <w:bCs/>
          <w:color w:val="000000"/>
          <w:sz w:val="14"/>
          <w:szCs w:val="14"/>
          <w:lang w:eastAsia="pl-PL"/>
        </w:rPr>
        <w:t>Aby zachować pełną jawność i transparentność działań - wnosimy o opublikowanie treści petycji na stronie internetowej podmiotu rozpatrującego petycję lub urzędu go obsługującego (Adresata)  - na podstawie art. 8 ust. 1 ww. Ustawy o petycjach   - co jest jednoznaczne z wyrażeniem zgody na publikację wszystkich danych. Chcemy działać w pełni jawnie i transparentnie.</w:t>
      </w: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 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Petycja odrębna - dla ułatwienia i zmniejszenia biurokracji - została dołączona do niniejszego wniosku   - vide -  J. Borkowski (w:) B. Adamiak, J. Borkowski, Kodeks postępowania…, s. 668; por. także art. 12 ust. 1 komentowanej ustawy - dostępne w sieci Internet.  - co jak wynika z cytowanego piśmiennictwa nie jest łączeniem trybów. 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§3) Wnosimy o zwrotne potwierdzenie otrzymania niniejszego wniosku w trybie §7  Rozporządzenia Prezesa Rady Ministrów z dnia 8 stycznia 2002 r. w sprawie organizacji przyjmowania i rozpatrywania s. i wniosków. (Dz. U. z dnia 22 styczna 2002 r. Nr 5, poz. 46) -  na adres </w:t>
      </w:r>
      <w:hyperlink r:id="rId4" w:history="1">
        <w:r w:rsidRPr="00D51418">
          <w:rPr>
            <w:rFonts w:ascii="Arial" w:eastAsia="Times New Roman" w:hAnsi="Arial" w:cs="Arial"/>
            <w:color w:val="0000FF"/>
            <w:sz w:val="14"/>
            <w:szCs w:val="14"/>
            <w:u w:val="single"/>
            <w:lang w:eastAsia="pl-PL"/>
          </w:rPr>
          <w:t>e-mail: dekontaminacja@samorzad.pl</w:t>
        </w:r>
      </w:hyperlink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§4) Wnosimy o to, aby odpowiedź w  przedmiocie powyższych pytań i petycji złożonych na mocy art. 63 Konstytucji RP - w związku z art.  241 KPA, została udzielona - zwrotnie na adres </w:t>
      </w:r>
      <w:hyperlink r:id="rId5" w:history="1">
        <w:r w:rsidRPr="00D51418">
          <w:rPr>
            <w:rFonts w:ascii="Arial" w:eastAsia="Times New Roman" w:hAnsi="Arial" w:cs="Arial"/>
            <w:color w:val="0000FF"/>
            <w:sz w:val="14"/>
            <w:szCs w:val="14"/>
            <w:u w:val="single"/>
            <w:lang w:eastAsia="pl-PL"/>
          </w:rPr>
          <w:t>e-mail dekontaminacja@samorzad.pl</w:t>
        </w:r>
      </w:hyperlink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 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§5) Wniosek został sygnowany bezpiecznym, kwalifikowanym podpisem elektronicznym - stosownie do wytycznych Ustawy z dnia 5 września 2016 r. o usługach zaufania oraz identyfikacji elektronicznej (Dz.U.2016.1579 dnia 2016.09.29)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Wnioskodawca/</w:t>
      </w:r>
      <w:proofErr w:type="spellStart"/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Petycjodawca</w:t>
      </w:r>
      <w:proofErr w:type="spellEnd"/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*: 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Osoba Prawna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Szulc-Efekt sp. z o. o.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Prezes Zarządu - Adam Szulc 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ul. Poligonowa 1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04-051 Warszawa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nr KRS: 0000059459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Kapitał Zakładowy: 222.000,00 </w:t>
      </w:r>
      <w:proofErr w:type="spellStart"/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pln</w:t>
      </w:r>
      <w:proofErr w:type="spellEnd"/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 </w:t>
      </w:r>
    </w:p>
    <w:p w:rsidR="001A5E70" w:rsidRPr="00D51418" w:rsidRDefault="007B191F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hyperlink r:id="rId6" w:history="1">
        <w:r w:rsidR="001A5E70" w:rsidRPr="00D51418">
          <w:rPr>
            <w:rFonts w:ascii="Arial" w:eastAsia="Times New Roman" w:hAnsi="Arial" w:cs="Arial"/>
            <w:color w:val="0000FF"/>
            <w:sz w:val="14"/>
            <w:szCs w:val="14"/>
            <w:u w:val="single"/>
            <w:lang w:eastAsia="pl-PL"/>
          </w:rPr>
          <w:t>www.gmina.pl</w:t>
        </w:r>
      </w:hyperlink>
      <w:r w:rsidR="001A5E70"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    </w:t>
      </w:r>
      <w:hyperlink r:id="rId7" w:history="1">
        <w:r w:rsidR="001A5E70" w:rsidRPr="00D51418">
          <w:rPr>
            <w:rFonts w:ascii="Arial" w:eastAsia="Times New Roman" w:hAnsi="Arial" w:cs="Arial"/>
            <w:color w:val="0000FF"/>
            <w:sz w:val="14"/>
            <w:szCs w:val="14"/>
            <w:u w:val="single"/>
            <w:lang w:eastAsia="pl-PL"/>
          </w:rPr>
          <w:t>www.samorzad.pl</w:t>
        </w:r>
      </w:hyperlink>
      <w:r w:rsidR="001A5E70"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 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Zwyczajowy komentarz do Wniosku: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 Adresat jest jednoznacznie identyfikowany - na podstawie - unikalnego adresu e-mail opublikowanego w Biuletynie Informacji Publicznej Jednostki i przypisanego do odnośnego Organu.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Rzeczony adres e-mail - zgodnie z dyspozycją art. 1 i 8 ustawy o dostępie do informacji publicznej - stanowiąc informację pewną i potwierdzoną - jednoznacznie oznacza adresata petycji/wniosku. (Oznaczenie adresata petycji/wniosku) 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Pomimo, iż w rzeczonym wniosku powołujemy się na art. 241 Ustawy z dnia 14 czerwca 1960 r. Kodeks postępowania administracyjnego (</w:t>
      </w:r>
      <w:proofErr w:type="spellStart"/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t.j</w:t>
      </w:r>
      <w:proofErr w:type="spellEnd"/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. Dz. U. z 2021 r. poz. 735 , 2052)   -  w naszym mniemaniu - nie oznacza to, że Urząd powinien rozpatrywać niniejsze wnioski w trybie KPA  - należy w tym przypadku zawsze stosować art. 222 KPA. 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W opinii Wnioskodawcy Urząd powinien w zależności od dokonanej interpretacji treści pisma  - procedować nasze wnioski  -  ad exemplum w trybie Ustawy o petycjach (Dz.U.2014.1195 z dnia 2014.09.05)  lub odpowiednio Ustawy o dostępie do informacji publicznej (wynika to zazwyczaj z jego treści i powołanych podstaw prawnych) - lub stosować art. 222KPA 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Zatem - wg. Wnioskodawcy niniejszy wniosek może być jedynie fakultatywnie rozpatrywany - jako optymalizacyjny w związku z art. 241 KPA. 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W naszych wnioskach/petycjach  często powołujemy </w:t>
      </w:r>
      <w:proofErr w:type="spellStart"/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sie</w:t>
      </w:r>
      <w:proofErr w:type="spellEnd"/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na  wzmiankowany art. 241 KPA - scilicet: "Przedmiotem wniosku mogą być w szczególności sprawy ulepszenia organizacji, wzmocnienia praworządności, usprawnienia pracy i zapobiegania nadużyciom, ochrony własności, lepszego zaspokajania potrzeb ludności.” - w sensie możliwości otwarcia procedury sanacyjnej. 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Każdy Podmiot mający styczność z Gminą  - ma prawo i obowiązek - usprawniać struktury administracji samorządowej i każdy Podmiot bez wyjątku ma obowiązek walczyć o lepszą przyszłość dla Polski. 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Zatem pomimo formy zewnętrznej - Decydenci mogą/powinni dokonać własnej interpretacji  pisma - zgodnie z brzmieniem art. 222 KPA. 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Nazwa Wnioskodawca/</w:t>
      </w:r>
      <w:proofErr w:type="spellStart"/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Petycjodawca</w:t>
      </w:r>
      <w:proofErr w:type="spellEnd"/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- jest dla uproszczenia stosowna jako synonim nazwy “Podmiot Wnoszący Petycję” - w rozumieniu art. 4 ust. 4 Ustawy o petycjach (Dz.U.2014.1195 z dnia 2014.09.05) 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Pozwalamy sobie również przypomnieć, że  ipso iure art. 2 ust. 2 Ustawy o dostępie do informacji publicznej “ (…) Od osoby wykonującej prawo do informacji publicznej nie wolno żądać wykazania interesu prawnego lub faktycznego.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Wnioskodawca   - pro forma podpisał - niniejszy wniosek -  bezpiecznym kwalifikowanym podpisem elektronicznym  (w załączeniu stosowne pliki) - choć według aktualnego orzecznictwa brak podpisu elektronicznego nie powoduje bezprzedmiotowości wniosku, stosownie do orzeczenia: Naczelnego Sądu Administracyjnego w Warszawie I OSK 1277/08.  Podkreślamy jednocześnie, iż przedmiotowy wniosek traktujemy jako próbę usprawnienia organizacji działania Jednostek Administracji Publicznej  - w celu lepszego zaspokajania potrzeb ludności. Do wniosku dołączono plik podpisany bezpiecznym kwalifikowanym podpisem elektronicznym, zawiera on taką samą treść, jak ta która znajduje się w niniejszej wiadomości e-mail.  Weryfikacja podpisu i odczytanie pliku wymaga posiadania oprogramowania, które bez ponoszenia opłat, można uzyskać na stronach WWW podmiotów - zgodnie z ustawą, świadczących usługi certyfikacyjne. 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Celem naszych wniosków jest - sensu largo - usprawnienie, naprawa - na miarę istniejących możliwości - funkcjonowania struktur Administracji Publicznej - głownie w Gminach/Miastach  - gdzie jak wynika z naszych wniosków - stan faktyczny wymaga wszczęcia procedur sanacyjnych. 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b/>
          <w:bCs/>
          <w:color w:val="000000"/>
          <w:sz w:val="14"/>
          <w:szCs w:val="14"/>
          <w:lang w:eastAsia="pl-PL"/>
        </w:rPr>
        <w:t>W Jednostkach Pionu Administracji Rządowej - stan faktyczny jest o wiele lepszy.  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Zwracamy uwagę, że Ustawodawca do tego stopnia stara się - poszerzyć spektrum możliwości porównywania cen i wyboru różnych opcji rynkowych oraz przeciwdziałać korupcji w Administracji Publicznej - że nakazał w §6 ust. 2 pkt. 2 załącznika nr 1 do Rozporządzenia Prezesa Rady Ministrów </w:t>
      </w: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lastRenderedPageBreak/>
        <w:t>z dnia 18 stycznia 2011 r. w sprawie instrukcji kancelaryjnej, (…) (Dz. U. z dnia 20 stycznia 2011 r.) -  archiwizowanie, również wszystkich niezamówionych ofert, a co dopiero petycji i wniosków optymalizacyjnych. Cieszy nas ten fakt niemiernie, przyczyni się z pewnością do większej rozwagi w wydatkowaniu środków publicznych. 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Duża ilość powoływanych przepisów prawa w przedmiotowym wniosku, wiąże się z tym, że chcemy uniknąć wyjaśniania intencji i podstaw prawnych w rozmowach telefonicznych - co rzadko, ale jednak, ciągle ma miejsce w przypadku nielicznych JST.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Jeżeli JST nie zgada się z powołanymi przepisami prawa, prosimy aby zastosowano podstawy prawne akceptowane przez JST.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Dobro Petenta i jawność życia publicznego jest naszym nadrzędnym celem, dlatego staramy się również upowszechniać zapisy Ustawowe dotyczące Wnioskowania. Kwestie te Ustawodawca podkreślił i uregulował w art. 63 Konstytucji RP: "Każdy ma prawo składać petycje, wnioski i skargi w interesie publicznym, własnym lub innej osoby za jej zgodą do organów władzy publicznej oraz do organizacji i instytucji społecznych w związku z wykonywanymi przez nie zadaniami zleconymi z zakresu administracji publicznej." oraz w art. 54 ust. 1 Konstytucji RP "Każdemu zapewnia się wolność wyrażania swoich poglądów oraz pozyskiwania i rozpowszechniania informacji."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Pamiętajmy również o przepisach zawartych </w:t>
      </w:r>
      <w:proofErr w:type="spellStart"/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inter</w:t>
      </w:r>
      <w:proofErr w:type="spellEnd"/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proofErr w:type="spellStart"/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alia</w:t>
      </w:r>
      <w:proofErr w:type="spellEnd"/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:</w:t>
      </w:r>
      <w:r w:rsidRPr="00D51418">
        <w:rPr>
          <w:rFonts w:ascii="Arial" w:eastAsia="Times New Roman" w:hAnsi="Arial" w:cs="Arial"/>
          <w:b/>
          <w:bCs/>
          <w:color w:val="000000"/>
          <w:sz w:val="14"/>
          <w:szCs w:val="14"/>
          <w:lang w:eastAsia="pl-PL"/>
        </w:rPr>
        <w:t> w art. 225 KPA: "§ 1. Nikt nie może być narażony na jakikolwiek uszczerbek lub zarzut z powodu złożenia skargi lub wniosku albo z powodu dostarczenia materiału do publikacji o znamionach skargi lub wniosku, jeżeli działał w granicach prawem dozwolonych.</w:t>
      </w: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 § 2. Organy państwowe, organy jednostek samorządu terytorialnego i inne organy samorządowe oraz organy organizacji społecznych są obowiązane przeciwdziałać hamowaniu krytyki i innym działaniom ograniczającym prawo do składania skarg i wniosków lub dostarczania informacji - do publikacji - o znamionach skargi lub wniosku.”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Jeśli do przedmiotowego wniosku dołączono petycję - należy uznać, że Stosownie do art. 4 ust. 2 pkt. 1 Ustawy o petycjach ( tj. Dz.U. 2018 poz. 870)  -  osobą reprezentująca Podmiot wnoszący petycję - jest Prezes Zarządu wskazany w stopce 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*Stosownie do art. 4 ust. 2 pkt. 5 ww. Ustawy - petycja niniejsza została złożona za pomocą środków komunikacji elektronicznej - a wskazanym zwrotnym adresem poczty elektronicznej jest skrzynka poczty elektronicznej Adresata ujawniona w BIP i z BIP pozyskana przez wnioskodawcę/</w:t>
      </w:r>
      <w:proofErr w:type="spellStart"/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petycjodawcę</w:t>
      </w:r>
      <w:proofErr w:type="spellEnd"/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, </w:t>
      </w:r>
      <w:proofErr w:type="spellStart"/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etc</w:t>
      </w:r>
      <w:proofErr w:type="spellEnd"/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 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Adresatem Petycji - jest Organ ujawniony w komparycji.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Kierownik Jednostki Samorządu Terytorialnego (dalej JST)  - w rozumieniu art. 33 ust. 3 Ustawy o samorządzie gminnym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Eksperci NIK piszą: "Niewielka liczba składanych wniosków o udzielenie informacji publicznej, liczba skarg złożonych do WSA, jak również liczba pozwów złożonych do sądów rejonowych, świadczyć może o braku zainteresowania w egzekwowaniu powszechnego prawa do informacji publicznej. Z drugiej strony, realizację tego prawa utrudniają podmioty zobowiązane do pełnej przejrzystości swojego działania, poprzez nieudostępnianie wymaganej informacji publicznej" [Protokół pokontrolny dostępny w sieci Internet: LBY-4101-09/2010]. Mamy nadzieję, zmienić powyższą ocenę, być może nasz wniosek choć w niewielkim stopniu – przyczyni się do zwiększenia tych wskaźników.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Postulujemy, ABY NASZA PETYCJA NIE BYŁA W ŻADNYM RAZIE ŁĄCZONA Z ewentualnym PÓŹNIEJSZYM jakimkolwiek trybem zamówienia  nie musimy dodawać, że mamy nadzieję, iż wszelkie ewentualne postępowania będą  prowadzone z uwzględnieniem zasad uczciwej konkurencji - i o wyborze oferenta będą decydować jedynie ustalone przez decydentów kryteria związane </w:t>
      </w:r>
      <w:proofErr w:type="spellStart"/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inter</w:t>
      </w:r>
      <w:proofErr w:type="spellEnd"/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proofErr w:type="spellStart"/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alia</w:t>
      </w:r>
      <w:proofErr w:type="spellEnd"/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z parametrami ofert oraz ceną. 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Oczywiście - wszelkie ewentualne postępowania - ogłoszone przez Jednostkę Administracji Publicznej - będące następstwem niniejszego wniosku - należy przeprowadzić zgodnie z rygorystycznymi zasadami wydatkowania środków publicznych -  z uwzględnieniem stosowania zasad uczciwej konkurencji, przejrzystości i transparentności -  zatem w pełni lege artis. 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Ponownie sygnalizujemy, że do wniosku dołączono plik podpisany  kwalifikowanym podpisem elektronicznym.  Weryfikacja podpisu i odczytanie pliku wymaga posiadania oprogramowania, które bez ponoszenia opłat, można uzyskać na stronach WWW podmiotów - zgodnie z ustawą, świadczących usługi certyfikacyjne. 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D51418">
        <w:rPr>
          <w:rFonts w:ascii="Arial" w:eastAsia="Times New Roman" w:hAnsi="Arial" w:cs="Arial"/>
          <w:color w:val="000000"/>
          <w:sz w:val="14"/>
          <w:szCs w:val="14"/>
          <w:lang w:eastAsia="pl-PL"/>
        </w:rPr>
        <w:t>* - niepotrzebne - pominąć </w:t>
      </w: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</w:p>
    <w:p w:rsidR="001A5E70" w:rsidRPr="00D51418" w:rsidRDefault="001A5E70" w:rsidP="001A5E70">
      <w:pPr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</w:p>
    <w:p w:rsidR="001A5E70" w:rsidRPr="00D51418" w:rsidRDefault="001A5E70" w:rsidP="001A5E70">
      <w:pPr>
        <w:jc w:val="both"/>
        <w:rPr>
          <w:rFonts w:ascii="Arial" w:eastAsia="Times New Roman" w:hAnsi="Arial" w:cs="Arial"/>
          <w:sz w:val="14"/>
          <w:szCs w:val="14"/>
          <w:lang w:eastAsia="pl-PL"/>
        </w:rPr>
      </w:pPr>
    </w:p>
    <w:p w:rsidR="001A5E70" w:rsidRPr="00D51418" w:rsidRDefault="001A5E70" w:rsidP="001A5E70">
      <w:pPr>
        <w:jc w:val="both"/>
        <w:rPr>
          <w:rFonts w:ascii="Arial" w:hAnsi="Arial" w:cs="Arial"/>
          <w:sz w:val="14"/>
          <w:szCs w:val="14"/>
        </w:rPr>
      </w:pPr>
    </w:p>
    <w:p w:rsidR="00DE64A9" w:rsidRDefault="00DE64A9"/>
    <w:sectPr w:rsidR="00DE64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E70"/>
    <w:rsid w:val="001A5E70"/>
    <w:rsid w:val="007B191F"/>
    <w:rsid w:val="00DE6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2B733"/>
  <w15:chartTrackingRefBased/>
  <w15:docId w15:val="{493113A2-0386-4329-8407-01E105788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5E70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samorzad.p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mina.pl/" TargetMode="External"/><Relationship Id="rId5" Type="http://schemas.openxmlformats.org/officeDocument/2006/relationships/hyperlink" Target="mailto:dekontaminacja@samorzad.pl" TargetMode="External"/><Relationship Id="rId4" Type="http://schemas.openxmlformats.org/officeDocument/2006/relationships/hyperlink" Target="mailto:dekontaminacja@samorzad.p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1650</Words>
  <Characters>9903</Characters>
  <Application>Microsoft Office Word</Application>
  <DocSecurity>0</DocSecurity>
  <Lines>82</Lines>
  <Paragraphs>23</Paragraphs>
  <ScaleCrop>false</ScaleCrop>
  <Company/>
  <LinksUpToDate>false</LinksUpToDate>
  <CharactersWithSpaces>11530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/>
  <cp:lastModifiedBy>Justyna</cp:lastModifiedBy>
  <cp:revision>2</cp:revision>
  <dcterms:created xsi:type="dcterms:W3CDTF">2023-01-31T13:17:00Z</dcterms:created>
  <dcterms:modified xsi:type="dcterms:W3CDTF">2023-01-31T13:38:00Z</dcterms:modified>
</cp:coreProperties>
</file>