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339F" w:rsidRDefault="00F20949">
      <w:pPr>
        <w:pStyle w:val="Teksttreci20"/>
        <w:ind w:right="640"/>
      </w:pPr>
      <w:r>
        <w:t>Magdalena Macias</w:t>
      </w:r>
    </w:p>
    <w:p w:rsidR="0012339F" w:rsidRDefault="00000000">
      <w:pPr>
        <w:pStyle w:val="Teksttreci20"/>
      </w:pPr>
      <w:r>
        <w:t>dnia 31 stycznia 2023 r.</w:t>
      </w:r>
    </w:p>
    <w:p w:rsidR="0012339F" w:rsidRDefault="00000000">
      <w:pPr>
        <w:pStyle w:val="Teksttreci0"/>
        <w:spacing w:after="0" w:line="257" w:lineRule="auto"/>
        <w:jc w:val="center"/>
      </w:pPr>
      <w:r>
        <w:rPr>
          <w:b/>
          <w:bCs/>
        </w:rPr>
        <w:t>Uchwała nr 1/21/2023</w:t>
      </w:r>
    </w:p>
    <w:p w:rsidR="0012339F" w:rsidRDefault="00000000">
      <w:pPr>
        <w:pStyle w:val="Teksttreci0"/>
        <w:spacing w:after="200" w:line="257" w:lineRule="auto"/>
        <w:jc w:val="center"/>
      </w:pPr>
      <w:r>
        <w:rPr>
          <w:b/>
          <w:bCs/>
        </w:rPr>
        <w:t>Składu Orzekającego Regionalnej Izby Obrachunkowej</w:t>
      </w:r>
      <w:r>
        <w:rPr>
          <w:b/>
          <w:bCs/>
        </w:rPr>
        <w:br/>
        <w:t>z dnia 31 stycznia 2023 r.</w:t>
      </w:r>
    </w:p>
    <w:p w:rsidR="0012339F" w:rsidRDefault="00000000" w:rsidP="00F20949">
      <w:pPr>
        <w:pStyle w:val="Teksttreci0"/>
        <w:spacing w:after="440" w:line="252" w:lineRule="auto"/>
        <w:jc w:val="center"/>
      </w:pPr>
      <w:r>
        <w:rPr>
          <w:b/>
          <w:bCs/>
        </w:rPr>
        <w:t>w sprawie opinii o prawidłowości planowanej kwoty długu przedstawionej w uchwałach Rady Miejskiej</w:t>
      </w:r>
      <w:r>
        <w:rPr>
          <w:b/>
          <w:bCs/>
        </w:rPr>
        <w:br/>
        <w:t>Węglińca z dnia 29 grudnia 2022 r. nr 971/LVII/22 w sprawie przyjęcia Wieloletniej Prognozy</w:t>
      </w:r>
      <w:r>
        <w:rPr>
          <w:b/>
          <w:bCs/>
        </w:rPr>
        <w:br/>
        <w:t>Finansowej Gminy i Miasta Węgliniec oraz nr 972/LYII/22 w sprawie budżetu gminy Węgliniec na 2023</w:t>
      </w:r>
      <w:r>
        <w:rPr>
          <w:b/>
          <w:bCs/>
        </w:rPr>
        <w:br/>
        <w:t>rok</w:t>
      </w:r>
      <w:r w:rsidR="00F20949">
        <w:br/>
      </w:r>
      <w:r>
        <w:t>Na podstawie art. 19 ust. 2 ustawy z dnia 7 października 1992 r. o regionalnych izbach obrachunkowych (Dz.U. z 2022 r. poz. 1668) w związku żart. 230 ust. 4 ustawy z dnia 27 sierpnia 2009 r. o finansach publicznych (Dz.U. z 2022 r. poz. 1634, z późn.zm.), Skład Orzekający Regionalnej Izby Obrachunkowej we Wrocławiu, w osobach:</w:t>
      </w:r>
    </w:p>
    <w:p w:rsidR="0012339F" w:rsidRDefault="00000000">
      <w:pPr>
        <w:pStyle w:val="Teksttreci0"/>
        <w:numPr>
          <w:ilvl w:val="0"/>
          <w:numId w:val="1"/>
        </w:numPr>
        <w:tabs>
          <w:tab w:val="left" w:pos="288"/>
        </w:tabs>
        <w:spacing w:after="0"/>
        <w:jc w:val="both"/>
      </w:pPr>
      <w:r>
        <w:t>Magdalena Macias — przewodnicząca,</w:t>
      </w:r>
    </w:p>
    <w:p w:rsidR="0012339F" w:rsidRDefault="00000000">
      <w:pPr>
        <w:pStyle w:val="Teksttreci0"/>
        <w:numPr>
          <w:ilvl w:val="0"/>
          <w:numId w:val="1"/>
        </w:numPr>
        <w:tabs>
          <w:tab w:val="left" w:pos="303"/>
        </w:tabs>
        <w:spacing w:after="0"/>
        <w:jc w:val="both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12339F" w:rsidRDefault="00000000">
      <w:pPr>
        <w:pStyle w:val="Teksttreci0"/>
        <w:numPr>
          <w:ilvl w:val="0"/>
          <w:numId w:val="1"/>
        </w:numPr>
        <w:tabs>
          <w:tab w:val="left" w:pos="303"/>
        </w:tabs>
        <w:jc w:val="both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12339F" w:rsidRDefault="00000000">
      <w:pPr>
        <w:pStyle w:val="Nagwek20"/>
        <w:keepNext/>
        <w:keepLines/>
      </w:pPr>
      <w:bookmarkStart w:id="0" w:name="bookmark2"/>
      <w:r>
        <w:t>wydaje opinię pozytywną</w:t>
      </w:r>
      <w:bookmarkEnd w:id="0"/>
    </w:p>
    <w:p w:rsidR="0012339F" w:rsidRDefault="00000000">
      <w:pPr>
        <w:pStyle w:val="Teksttreci0"/>
        <w:spacing w:after="340"/>
        <w:jc w:val="both"/>
      </w:pPr>
      <w:r>
        <w:t>o prawidłowości planowanej kwoty długu przedstawionej w uchwałach Rady Miejskiej Węglińca z dnia 29 grudnia 2022 r. nr 971/LVII/22 w sprawie przyjęcia Wieloletniej Prognozy Finansowej Gminy i Miasta Węgliniec oraz nr 972/LVII/22 w sprawie budżetu gminy Węgliniec na 2023 rok.</w:t>
      </w:r>
    </w:p>
    <w:p w:rsidR="0012339F" w:rsidRDefault="00000000">
      <w:pPr>
        <w:pStyle w:val="Nagwek20"/>
        <w:keepNext/>
        <w:keepLines/>
      </w:pPr>
      <w:bookmarkStart w:id="1" w:name="bookmark4"/>
      <w:r>
        <w:t>Uzasadnienie</w:t>
      </w:r>
      <w:bookmarkEnd w:id="1"/>
    </w:p>
    <w:p w:rsidR="0012339F" w:rsidRDefault="00000000">
      <w:pPr>
        <w:pStyle w:val="Teksttreci0"/>
        <w:ind w:firstLine="420"/>
        <w:jc w:val="both"/>
      </w:pPr>
      <w:r>
        <w:t xml:space="preserve">Zgodnie z art. 230 ust. 4 ustawy z dnia 27 sierpnia 2009 r. o finansach publicznych (Dz.U. z 2022 r. poz. 1634, </w:t>
      </w:r>
      <w:proofErr w:type="spellStart"/>
      <w:r>
        <w:t>zpóźn</w:t>
      </w:r>
      <w:proofErr w:type="spellEnd"/>
      <w:r>
        <w:t>. zm.), zwanej dalej „</w:t>
      </w:r>
      <w:proofErr w:type="spellStart"/>
      <w:r>
        <w:t>ufp</w:t>
      </w:r>
      <w:proofErr w:type="spellEnd"/>
      <w:r>
        <w:t>.”, regionalna izba obrachunkowa na podstawie przyjętej przez jednostkę samorządu terytorialnego wieloletniej prognozy finansowej oraz uchwały budżetowej przedstawia opinię o prawidłowości planowanej kwoty długu. W opinii regionalna izba obrachunkowa ocenia prawidłowość planowanej kwoty długu, a w szczególności poziom kształtowania się wskaźników zadłużenia w okresie spłaty długu.</w:t>
      </w:r>
    </w:p>
    <w:p w:rsidR="0012339F" w:rsidRDefault="00000000">
      <w:pPr>
        <w:pStyle w:val="Teksttreci0"/>
        <w:ind w:firstLine="420"/>
        <w:jc w:val="both"/>
      </w:pPr>
      <w:r>
        <w:t>Skład Orzekający na podstawie przekazanej w formie dokumentu elektronicznego w dniu 5 stycznia 2023 roku uchwały Rady Miejskiej Węglińca z dnia 29 grudnia 2022 r. nr 971/LVII/22 w sprawie przyjęcia Wieloletniej Prognozy Finansowej Gminy i Miasta Węgliniec oraz przekazanej 10 stycznia 2023 roku uchwały Rady Miejskiej Węglińca nr 972/LYII/22 z dnia 29 grudnia 2022 r. w sprawie budżetu gminy Węgliniec na 2023 rok, stwierdził co następuje.</w:t>
      </w:r>
    </w:p>
    <w:p w:rsidR="0012339F" w:rsidRDefault="00000000">
      <w:pPr>
        <w:pStyle w:val="Teksttreci0"/>
        <w:numPr>
          <w:ilvl w:val="0"/>
          <w:numId w:val="2"/>
        </w:numPr>
        <w:tabs>
          <w:tab w:val="left" w:pos="288"/>
        </w:tabs>
        <w:spacing w:after="200" w:line="252" w:lineRule="auto"/>
        <w:jc w:val="both"/>
      </w:pPr>
      <w:r>
        <w:t xml:space="preserve">Wieloletnią prognozę finansową wraz z prognozą kwoty długu sporządzono na lata 2023-2040, co spełnia wymogi art. 227 </w:t>
      </w:r>
      <w:proofErr w:type="spellStart"/>
      <w:r>
        <w:t>ufp</w:t>
      </w:r>
      <w:proofErr w:type="spellEnd"/>
      <w:r>
        <w:t xml:space="preserve">. W każdym roku objętym prognozą określono wielkości, o których mowa w art. 226 ust. 1 </w:t>
      </w:r>
      <w:proofErr w:type="spellStart"/>
      <w:r>
        <w:t>ufp</w:t>
      </w:r>
      <w:proofErr w:type="spellEnd"/>
      <w:r>
        <w:t xml:space="preserve"> oraz dołączono objaśnienia przyjętych w prognozie wartości.</w:t>
      </w:r>
    </w:p>
    <w:p w:rsidR="0012339F" w:rsidRDefault="00000000">
      <w:pPr>
        <w:pStyle w:val="Teksttreci0"/>
        <w:numPr>
          <w:ilvl w:val="0"/>
          <w:numId w:val="2"/>
        </w:numPr>
        <w:tabs>
          <w:tab w:val="left" w:pos="288"/>
        </w:tabs>
        <w:spacing w:after="200"/>
        <w:jc w:val="both"/>
      </w:pPr>
      <w:r>
        <w:t xml:space="preserve">Ujęte w prognozie na 2023 rok kwoty dochodów, wydatków, przychodów i rozchodów budżetu oraz długu są zgodne z kwotami ujętymi w uchwale budżetowej na 2023 rok, co spełnia wymogi art. 229 </w:t>
      </w:r>
      <w:proofErr w:type="spellStart"/>
      <w:r>
        <w:t>ufp</w:t>
      </w:r>
      <w:proofErr w:type="spellEnd"/>
      <w:r>
        <w:t>.</w:t>
      </w:r>
    </w:p>
    <w:p w:rsidR="0012339F" w:rsidRDefault="00000000">
      <w:pPr>
        <w:pStyle w:val="Teksttreci0"/>
        <w:numPr>
          <w:ilvl w:val="0"/>
          <w:numId w:val="2"/>
        </w:numPr>
        <w:tabs>
          <w:tab w:val="left" w:pos="288"/>
        </w:tabs>
        <w:spacing w:after="200" w:line="252" w:lineRule="auto"/>
        <w:jc w:val="both"/>
      </w:pPr>
      <w:r>
        <w:t>Planowana w 2023 roku kwota przychodów wynosi 5.195.928,87 zł, w tym z tytułu planowanych do zaciągnięcia kredytów i pożyczek - 2.400.000,00 zł. Wielkość rozchodów stanowi kwotę 1.291.400,00 zł z tytułu spłat rat kredytów i pożyczek. W kolejnych latach objętych wieloletnią prognozą finansową nie planuje się przychodów z tytułu zwrotnych źródeł finansowania a źródłem spłaty długu są prognozowane nadwyżki budżetu.</w:t>
      </w:r>
    </w:p>
    <w:p w:rsidR="0012339F" w:rsidRDefault="00000000">
      <w:pPr>
        <w:pStyle w:val="Teksttreci0"/>
        <w:numPr>
          <w:ilvl w:val="0"/>
          <w:numId w:val="2"/>
        </w:numPr>
        <w:tabs>
          <w:tab w:val="left" w:pos="298"/>
        </w:tabs>
        <w:spacing w:after="100" w:line="254" w:lineRule="auto"/>
        <w:jc w:val="both"/>
      </w:pPr>
      <w:r>
        <w:t xml:space="preserve">Prognozowana kwota długu na koniec 2023 roku wynosi 13.092.029,00 zł. Na kwotę długu składają się kredyty i pożyczki zaciągnięte w latach poprzednich oraz planowane do zaciągnięcia w 2023 roku. Spłata długu nastąpi do roku 2040. Jak wynika z wieloletniej prognoz}' finansowej obliczone na podstawie prognozowanych wielkości w latach 2023-2040 relacje spłat zobowiązań finansowych i kosztów ich obsługi określone w art. 243 </w:t>
      </w:r>
      <w:proofErr w:type="spellStart"/>
      <w:r>
        <w:t>ufp</w:t>
      </w:r>
      <w:proofErr w:type="spellEnd"/>
      <w:r>
        <w:t>, przy zastosowaniu w latach 2023-2025 średnich arytmetycznych z ostatnich siedmiu lat, nie przekraczają dopuszczalnych poziomów obciążenia budżetu ich spłatą. Skład Orzekający zwraca jednak uwagę, że przestrzeganie limitów określonych przepisami o finansach publicznych nie chroni przed utratą zdolności do finansowania właściwej realizacji zadań własnych gminy, co organy gminy winny mieć na uwadze planując zaciąganie zobowiązań długoterminowych.</w:t>
      </w:r>
    </w:p>
    <w:p w:rsidR="0012339F" w:rsidRDefault="00000000">
      <w:pPr>
        <w:pStyle w:val="Teksttreci0"/>
        <w:spacing w:after="100" w:line="252" w:lineRule="auto"/>
        <w:ind w:firstLine="380"/>
        <w:jc w:val="both"/>
      </w:pPr>
      <w:r>
        <w:t xml:space="preserve">Niniejsza opinia, zgodnie z art. 230 ust. 4 </w:t>
      </w:r>
      <w:proofErr w:type="spellStart"/>
      <w:r>
        <w:t>ufp</w:t>
      </w:r>
      <w:proofErr w:type="spellEnd"/>
      <w:r>
        <w:t>., podlega publikacji przez jednostkę samorządu terytorialnego na zasadach określonych w ustawie z dnia 6 września 2001 r. o dostępie do informacji publicznej (Dz.U. z 2022 r. poz. 902) w terminie 7 dni od dnia jej otrzymania.</w:t>
      </w:r>
    </w:p>
    <w:p w:rsidR="0012339F" w:rsidRDefault="00000000">
      <w:pPr>
        <w:pStyle w:val="Teksttreci0"/>
        <w:spacing w:after="340"/>
        <w:ind w:firstLine="380"/>
        <w:jc w:val="both"/>
      </w:pPr>
      <w:r>
        <w:t>Od niniejszej uchwały przysługuje zgodnie z art. 20 ust. 1 ustawy o regionalnych izbach obrachunkowych odwołanie do Kolegium Regionalnej Izby Obrachunkowej we Wrocławiu w terminie 14 dni od dnia doręczenia uchwały.</w:t>
      </w:r>
      <w:r w:rsidR="00F20949">
        <w:t xml:space="preserve"> </w:t>
      </w:r>
    </w:p>
    <w:p w:rsidR="00F20949" w:rsidRDefault="00F20949">
      <w:pPr>
        <w:pStyle w:val="Teksttreci0"/>
        <w:spacing w:after="340"/>
        <w:ind w:firstLine="380"/>
        <w:jc w:val="both"/>
      </w:pPr>
    </w:p>
    <w:p w:rsidR="0012339F" w:rsidRDefault="00000000">
      <w:pPr>
        <w:pStyle w:val="Teksttreci0"/>
        <w:spacing w:after="260"/>
        <w:jc w:val="center"/>
      </w:pPr>
      <w:r>
        <w:t>Przewodnicząca</w:t>
      </w:r>
      <w:r>
        <w:br/>
        <w:t>Składu Orzekającego</w:t>
      </w:r>
    </w:p>
    <w:p w:rsidR="0012339F" w:rsidRDefault="00000000">
      <w:pPr>
        <w:pStyle w:val="Teksttreci0"/>
        <w:spacing w:after="180"/>
        <w:jc w:val="center"/>
      </w:pPr>
      <w:r>
        <w:t>Magdalena Macias</w:t>
      </w:r>
    </w:p>
    <w:sectPr w:rsidR="0012339F">
      <w:footerReference w:type="default" r:id="rId7"/>
      <w:pgSz w:w="11900" w:h="16840"/>
      <w:pgMar w:top="202" w:right="1343" w:bottom="1414" w:left="117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C6E6E" w:rsidRDefault="005C6E6E">
      <w:r>
        <w:separator/>
      </w:r>
    </w:p>
  </w:endnote>
  <w:endnote w:type="continuationSeparator" w:id="0">
    <w:p w:rsidR="005C6E6E" w:rsidRDefault="005C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339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775335</wp:posOffset>
              </wp:positionH>
              <wp:positionV relativeFrom="page">
                <wp:posOffset>10137775</wp:posOffset>
              </wp:positionV>
              <wp:extent cx="2233930" cy="8255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3393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2339F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Id: 6D75854D-C226-4464-BA3F-35555A8EEDC0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61.05pt;margin-top:798.25pt;width:175.9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" filled="f" stroked="f">
              <v:textbox style="mso-fit-shape-to-text:t" inset="0,0,0,0">
                <w:txbxContent>
                  <w:p w:rsidR="0012339F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Id: 6D75854D-C226-4464-BA3F-35555A8EEDC0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C6E6E" w:rsidRDefault="005C6E6E"/>
  </w:footnote>
  <w:footnote w:type="continuationSeparator" w:id="0">
    <w:p w:rsidR="005C6E6E" w:rsidRDefault="005C6E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4C2A"/>
    <w:multiLevelType w:val="multilevel"/>
    <w:tmpl w:val="529219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647749A"/>
    <w:multiLevelType w:val="multilevel"/>
    <w:tmpl w:val="29E816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42711944">
    <w:abstractNumId w:val="0"/>
  </w:num>
  <w:num w:numId="2" w16cid:durableId="1527786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39F"/>
    <w:rsid w:val="0012339F"/>
    <w:rsid w:val="0015059C"/>
    <w:rsid w:val="002C3166"/>
    <w:rsid w:val="005C6E6E"/>
    <w:rsid w:val="00F2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582C9"/>
  <w15:docId w15:val="{404643CC-6623-4274-BF40-B11D554E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3859F"/>
      <w:sz w:val="19"/>
      <w:szCs w:val="19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F3859F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ind w:right="460"/>
      <w:jc w:val="right"/>
    </w:pPr>
    <w:rPr>
      <w:rFonts w:ascii="Arial" w:eastAsia="Arial" w:hAnsi="Arial" w:cs="Arial"/>
      <w:sz w:val="11"/>
      <w:szCs w:val="11"/>
    </w:rPr>
  </w:style>
  <w:style w:type="paragraph" w:customStyle="1" w:styleId="Teksttreci30">
    <w:name w:val="Tekst treści (3)"/>
    <w:basedOn w:val="Normalny"/>
    <w:link w:val="Teksttreci3"/>
    <w:pPr>
      <w:ind w:right="860"/>
      <w:jc w:val="right"/>
    </w:pPr>
    <w:rPr>
      <w:rFonts w:ascii="Arial" w:eastAsia="Arial" w:hAnsi="Arial" w:cs="Arial"/>
      <w:color w:val="F3859F"/>
      <w:sz w:val="19"/>
      <w:szCs w:val="19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20"/>
      <w:ind w:right="460"/>
      <w:jc w:val="right"/>
      <w:outlineLvl w:val="0"/>
    </w:pPr>
    <w:rPr>
      <w:rFonts w:ascii="Arial" w:eastAsia="Arial" w:hAnsi="Arial" w:cs="Arial"/>
      <w:color w:val="F3859F"/>
    </w:rPr>
  </w:style>
  <w:style w:type="paragraph" w:customStyle="1" w:styleId="Nagwek20">
    <w:name w:val="Nagłówek #2"/>
    <w:basedOn w:val="Normalny"/>
    <w:link w:val="Nagwek2"/>
    <w:pPr>
      <w:spacing w:after="200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2023-02-07T13:16:00Z</dcterms:created>
  <dcterms:modified xsi:type="dcterms:W3CDTF">2023-02-07T13:20:00Z</dcterms:modified>
</cp:coreProperties>
</file>