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12DF" w:rsidRDefault="00000000">
      <w:pPr>
        <w:pStyle w:val="Teksttreci20"/>
        <w:spacing w:line="202" w:lineRule="auto"/>
        <w:ind w:right="0"/>
      </w:pPr>
      <w:r>
        <w:rPr>
          <w:b/>
          <w:bCs/>
          <w:sz w:val="15"/>
          <w:szCs w:val="15"/>
        </w:rPr>
        <w:t>M</w:t>
      </w:r>
      <w:r w:rsidR="00B34F6A">
        <w:rPr>
          <w:b/>
          <w:bCs/>
          <w:sz w:val="15"/>
          <w:szCs w:val="15"/>
        </w:rPr>
        <w:t>a</w:t>
      </w:r>
      <w:r>
        <w:rPr>
          <w:b/>
          <w:bCs/>
          <w:sz w:val="15"/>
          <w:szCs w:val="15"/>
        </w:rPr>
        <w:t>g</w:t>
      </w:r>
      <w:r w:rsidR="00B34F6A">
        <w:rPr>
          <w:b/>
          <w:bCs/>
          <w:sz w:val="15"/>
          <w:szCs w:val="15"/>
        </w:rPr>
        <w:t>d</w:t>
      </w:r>
      <w:r>
        <w:rPr>
          <w:b/>
          <w:bCs/>
          <w:sz w:val="15"/>
          <w:szCs w:val="15"/>
        </w:rPr>
        <w:t xml:space="preserve">alena Macias </w:t>
      </w:r>
      <w:r>
        <w:rPr>
          <w:sz w:val="19"/>
          <w:szCs w:val="19"/>
        </w:rPr>
        <w:t xml:space="preserve"> </w:t>
      </w:r>
      <w:r>
        <w:t>dnia’31 stycznia 2023 r.</w:t>
      </w:r>
    </w:p>
    <w:p w:rsidR="007512DF" w:rsidRDefault="00000000">
      <w:pPr>
        <w:pStyle w:val="Teksttreci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3086735</wp:posOffset>
                </wp:positionH>
                <wp:positionV relativeFrom="paragraph">
                  <wp:posOffset>279400</wp:posOffset>
                </wp:positionV>
                <wp:extent cx="1240790" cy="15875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512DF" w:rsidRDefault="00000000">
                            <w:pPr>
                              <w:pStyle w:val="Teksttreci0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Uchwała nr 1/20/2023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243.05pt;margin-top:22pt;width:97.7pt;height:12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/e5dgEAAOYCAAAOAAAAZHJzL2Uyb0RvYy54bWysUtFOwyAUfTfxHwjvjm5xbjZrl5hlxsSo&#10;ifoBlMLapHAJ4Nr9vRdcN6NvxpfLhQvnnnsOq/WgO7KXzrdgCjqdZJRII6Buza6g72/bqyUlPnBT&#10;8w6MLOhBerouLy9Wvc3lDBroaukIghif97agTQg2Z8yLRmruJ2ClwaICp3nArdux2vEe0XXHZll2&#10;w3pwtXUgpPd4uvkq0jLhKyVFeFbKy0C6giK3kKJLsYqRlSue7xy3TSuONPgfWGjeGmx6gtrwwMmH&#10;a39B6VY48KDCRIBmoFQrZJoBp5lmP6Z5bbiVaRYUx9uTTP7/YMXT/tW+OBKGOxjQwChIb33u8TDO&#10;Myin44pMCdZRwsNJNjkEIuKj2XW2uMWSwNp0vlzMk67s/No6H+4laBKTgjq0JanF948+YEe8Ol6J&#10;zQxs266L52cqMQtDNRz5VVAfkHaPzhXU4NeipHswKEw0eUzcmFTHZIREMVPTo/HRre/71Pj8PctP&#10;AAAA//8DAFBLAwQUAAYACAAAACEAoz9leNwAAAAJAQAADwAAAGRycy9kb3ducmV2LnhtbEyPwU7D&#10;MBBE70j8g7VI3KgdVKIQ4lQIwZFKLVy4OfE2SRuvI9tpw9+znOA2o32anak2ixvFGUMcPGnIVgoE&#10;UuvtQJ2Gz4+3uwJETIasGT2hhm+MsKmvrypTWn+hHZ73qRMcQrE0GvqUplLK2PboTFz5CYlvBx+c&#10;SWxDJ20wFw53o7xXKpfODMQfejPhS4/taT87DYf37en4Ou/UsVMFfmUBlybban17szw/gUi4pD8Y&#10;futzdai5U+NnslGMGtZFnjHKYs2bGMiL7AFEw+JRgawr+X9B/QMAAP//AwBQSwECLQAUAAYACAAA&#10;ACEAtoM4kv4AAADhAQAAEwAAAAAAAAAAAAAAAAAAAAAAW0NvbnRlbnRfVHlwZXNdLnhtbFBLAQIt&#10;ABQABgAIAAAAIQA4/SH/1gAAAJQBAAALAAAAAAAAAAAAAAAAAC8BAABfcmVscy8ucmVsc1BLAQIt&#10;ABQABgAIAAAAIQCJk/e5dgEAAOYCAAAOAAAAAAAAAAAAAAAAAC4CAABkcnMvZTJvRG9jLnhtbFBL&#10;AQItABQABgAIAAAAIQCjP2V43AAAAAkBAAAPAAAAAAAAAAAAAAAAANADAABkcnMvZG93bnJldi54&#10;bWxQSwUGAAAAAAQABADzAAAA2QQAAAAA&#10;" filled="f" stroked="f">
                <v:textbox inset="0,0,0,0">
                  <w:txbxContent>
                    <w:p w:rsidR="007512DF" w:rsidRDefault="00000000">
                      <w:pPr>
                        <w:pStyle w:val="Teksttreci0"/>
                        <w:spacing w:after="0"/>
                      </w:pPr>
                      <w:r>
                        <w:rPr>
                          <w:b/>
                          <w:bCs/>
                        </w:rPr>
                        <w:t>Uchwała nr 1/20/2023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7512DF" w:rsidRDefault="007512DF">
      <w:pPr>
        <w:pStyle w:val="Nagwek10"/>
        <w:keepNext/>
        <w:keepLines/>
      </w:pPr>
    </w:p>
    <w:p w:rsidR="007512DF" w:rsidRDefault="00000000">
      <w:pPr>
        <w:pStyle w:val="Teksttreci0"/>
        <w:spacing w:after="0" w:line="180" w:lineRule="auto"/>
        <w:jc w:val="center"/>
        <w:rPr>
          <w:sz w:val="26"/>
          <w:szCs w:val="26"/>
        </w:rPr>
      </w:pPr>
      <w:r>
        <w:rPr>
          <w:b/>
          <w:bCs/>
        </w:rPr>
        <w:t xml:space="preserve">Składu Orzekającego Regionalnej Izby Obrachunkowej we Wrocławiu </w:t>
      </w:r>
    </w:p>
    <w:p w:rsidR="007512DF" w:rsidRDefault="00000000">
      <w:pPr>
        <w:pStyle w:val="Teksttreci0"/>
        <w:spacing w:after="100"/>
        <w:ind w:left="3540"/>
      </w:pPr>
      <w:r>
        <w:rPr>
          <w:b/>
          <w:bCs/>
        </w:rPr>
        <w:t>z dnia 31 stycznia 2023 r.</w:t>
      </w:r>
    </w:p>
    <w:p w:rsidR="007512DF" w:rsidRDefault="00000000">
      <w:pPr>
        <w:pStyle w:val="Teksttreci0"/>
        <w:spacing w:after="440" w:line="252" w:lineRule="auto"/>
        <w:jc w:val="center"/>
      </w:pPr>
      <w:r>
        <w:rPr>
          <w:b/>
          <w:bCs/>
        </w:rPr>
        <w:t>w sprawie opinii o możliwości sfinansowania deficytu budżetu gminy Węgliniec przedstawionego w</w:t>
      </w:r>
      <w:r>
        <w:rPr>
          <w:b/>
          <w:bCs/>
        </w:rPr>
        <w:br/>
        <w:t>uchwale Rady Miejskiej Węglińca nr 972/LVII/22 z dnia 29 grudnia 2022 r. w sprawie budżetu gminy</w:t>
      </w:r>
      <w:r>
        <w:rPr>
          <w:b/>
          <w:bCs/>
        </w:rPr>
        <w:br/>
        <w:t>Węgliniec na 2023 rok</w:t>
      </w:r>
    </w:p>
    <w:p w:rsidR="007512DF" w:rsidRDefault="00000000">
      <w:pPr>
        <w:pStyle w:val="Teksttreci0"/>
        <w:spacing w:after="100"/>
        <w:ind w:firstLine="400"/>
        <w:jc w:val="both"/>
      </w:pPr>
      <w:r>
        <w:t xml:space="preserve">Na podstawie art. 19 ust. 2 ustawy z dnia 7 października 1992 r. o regionalnych izbach obrachunkowych (Dz.U. z 2022 r. poz. 1668) w związku z art. 246 ust. 3 ustawy z dnia 27 sierpnia 2009 r. o finansach publicznych (Dz.U. z 2022 r. poz. 1634,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ztn</w:t>
      </w:r>
      <w:proofErr w:type="spellEnd"/>
      <w:r>
        <w:t>.), Skład Orzekający Regionalnej Izby Obrachunkowej we Wrocławiu, w osobach:</w:t>
      </w:r>
    </w:p>
    <w:p w:rsidR="007512DF" w:rsidRDefault="00000000">
      <w:pPr>
        <w:pStyle w:val="Teksttreci0"/>
        <w:numPr>
          <w:ilvl w:val="0"/>
          <w:numId w:val="1"/>
        </w:numPr>
        <w:tabs>
          <w:tab w:val="left" w:pos="345"/>
        </w:tabs>
        <w:spacing w:after="0" w:line="252" w:lineRule="auto"/>
      </w:pPr>
      <w:r>
        <w:t>Magdalena Macias — przewodnicząca,</w:t>
      </w:r>
    </w:p>
    <w:p w:rsidR="007512DF" w:rsidRDefault="00000000">
      <w:pPr>
        <w:pStyle w:val="Teksttreci0"/>
        <w:numPr>
          <w:ilvl w:val="0"/>
          <w:numId w:val="1"/>
        </w:numPr>
        <w:tabs>
          <w:tab w:val="left" w:pos="359"/>
        </w:tabs>
        <w:spacing w:after="0" w:line="252" w:lineRule="auto"/>
      </w:pPr>
      <w:r>
        <w:t xml:space="preserve">Joanna </w:t>
      </w:r>
      <w:proofErr w:type="spellStart"/>
      <w:r>
        <w:t>Stylska</w:t>
      </w:r>
      <w:proofErr w:type="spellEnd"/>
      <w:r>
        <w:t xml:space="preserve"> — członek,</w:t>
      </w:r>
    </w:p>
    <w:p w:rsidR="007512DF" w:rsidRDefault="00000000">
      <w:pPr>
        <w:pStyle w:val="Teksttreci0"/>
        <w:numPr>
          <w:ilvl w:val="0"/>
          <w:numId w:val="1"/>
        </w:numPr>
        <w:tabs>
          <w:tab w:val="left" w:pos="359"/>
        </w:tabs>
        <w:spacing w:after="100" w:line="252" w:lineRule="auto"/>
      </w:pPr>
      <w:r>
        <w:t xml:space="preserve">Arkadiusz </w:t>
      </w:r>
      <w:proofErr w:type="spellStart"/>
      <w:r>
        <w:t>Babczuk</w:t>
      </w:r>
      <w:proofErr w:type="spellEnd"/>
      <w:r>
        <w:t xml:space="preserve"> — członek,</w:t>
      </w:r>
    </w:p>
    <w:p w:rsidR="007512DF" w:rsidRDefault="00000000">
      <w:pPr>
        <w:pStyle w:val="Nagwek20"/>
        <w:keepNext/>
        <w:keepLines/>
        <w:ind w:left="3540"/>
      </w:pPr>
      <w:bookmarkStart w:id="0" w:name="bookmark2"/>
      <w:r>
        <w:t>wydaje opinię pozytywną</w:t>
      </w:r>
      <w:bookmarkEnd w:id="0"/>
    </w:p>
    <w:p w:rsidR="007512DF" w:rsidRDefault="00000000">
      <w:pPr>
        <w:pStyle w:val="Teksttreci0"/>
        <w:spacing w:after="340"/>
      </w:pPr>
      <w:r>
        <w:t>o możliwości sfinansowania deficytu budżetu gminy Węgliniec przedstawionego w uchwale Rady Miejskiej Węglińca nr 972/LVII/22 z dnia 29 grudnia 2022 r. w sprawie budżetu gminy Węgliniec na 2023 rok.</w:t>
      </w:r>
    </w:p>
    <w:p w:rsidR="007512DF" w:rsidRDefault="00000000">
      <w:pPr>
        <w:pStyle w:val="Nagwek20"/>
        <w:keepNext/>
        <w:keepLines/>
        <w:ind w:left="0"/>
        <w:jc w:val="center"/>
      </w:pPr>
      <w:bookmarkStart w:id="1" w:name="bookmark4"/>
      <w:r>
        <w:t>Uzasadnienie</w:t>
      </w:r>
      <w:bookmarkEnd w:id="1"/>
    </w:p>
    <w:p w:rsidR="007512DF" w:rsidRDefault="00000000">
      <w:pPr>
        <w:pStyle w:val="Teksttreci0"/>
        <w:spacing w:after="100" w:line="252" w:lineRule="auto"/>
        <w:ind w:firstLine="400"/>
        <w:jc w:val="both"/>
      </w:pPr>
      <w:r>
        <w:t xml:space="preserve">Zgodnie z art. 246 ust. 3 ustawy z dnia 27 sierpnia 2009 r. o finansach publicznych (Dz.U. z 2022 r. poz. 1634, z </w:t>
      </w:r>
      <w:proofErr w:type="spellStart"/>
      <w:r>
        <w:t>późn</w:t>
      </w:r>
      <w:proofErr w:type="spellEnd"/>
      <w:r>
        <w:t>. zm.), zwanej dalej „</w:t>
      </w:r>
      <w:proofErr w:type="spellStart"/>
      <w:r>
        <w:t>ufp</w:t>
      </w:r>
      <w:proofErr w:type="spellEnd"/>
      <w:r>
        <w:t>.”, regionalna izba obrachunkowa na podstawie uchwały budżetowej przedstawia opinię w sprawie możliwości sfinansowania deficytu przedstawionego przez jednostkę samorządu terytorialnego. W opinii regionalna izba obrachunkowa ocenia możliwość sfinansowania deficytu na podstawie wskazanych źródeł jego finansowania oraz ich wpływu na kształtowanie się długu jednostki samorządu terytorialnego.</w:t>
      </w:r>
    </w:p>
    <w:p w:rsidR="007512DF" w:rsidRDefault="00000000">
      <w:pPr>
        <w:pStyle w:val="Teksttreci0"/>
        <w:spacing w:after="100"/>
        <w:ind w:firstLine="400"/>
        <w:jc w:val="both"/>
      </w:pPr>
      <w:r>
        <w:t>Skład Orzekający na podstawie przedłożonej w dniu 10 stycznia 2023 roku uchwały Rady Miejskiej Węglińca nr 972/LVII/22 z dnia 29 grudnia 2022 r. w sprawie budżetu gminy Węgliniec na 2023 rok, stwierdził co następuje.</w:t>
      </w:r>
    </w:p>
    <w:p w:rsidR="007512DF" w:rsidRDefault="00000000">
      <w:pPr>
        <w:pStyle w:val="Teksttreci0"/>
        <w:spacing w:line="252" w:lineRule="auto"/>
      </w:pPr>
      <w:r>
        <w:t>W budżecie gminy na 2023 rok zaplanowano:</w:t>
      </w:r>
    </w:p>
    <w:p w:rsidR="007512DF" w:rsidRDefault="00000000">
      <w:pPr>
        <w:pStyle w:val="Teksttreci0"/>
        <w:numPr>
          <w:ilvl w:val="0"/>
          <w:numId w:val="2"/>
        </w:numPr>
        <w:tabs>
          <w:tab w:val="left" w:pos="335"/>
        </w:tabs>
        <w:spacing w:line="252" w:lineRule="auto"/>
      </w:pPr>
      <w:r>
        <w:t>dochody w wysokości - 50.209.541,08 zł, z tego:</w:t>
      </w:r>
    </w:p>
    <w:p w:rsidR="007512DF" w:rsidRDefault="00000000">
      <w:pPr>
        <w:pStyle w:val="Teksttreci0"/>
        <w:numPr>
          <w:ilvl w:val="0"/>
          <w:numId w:val="3"/>
        </w:numPr>
        <w:tabs>
          <w:tab w:val="left" w:pos="253"/>
        </w:tabs>
        <w:spacing w:line="252" w:lineRule="auto"/>
      </w:pPr>
      <w:r>
        <w:t>dochody bieżące - 36.057.114,08 zł,</w:t>
      </w:r>
    </w:p>
    <w:p w:rsidR="007512DF" w:rsidRDefault="00000000">
      <w:pPr>
        <w:pStyle w:val="Teksttreci0"/>
        <w:numPr>
          <w:ilvl w:val="0"/>
          <w:numId w:val="3"/>
        </w:numPr>
        <w:tabs>
          <w:tab w:val="left" w:pos="253"/>
        </w:tabs>
        <w:spacing w:line="252" w:lineRule="auto"/>
      </w:pPr>
      <w:r>
        <w:t>dochody majątkowe - 14.152.427,00 zł;</w:t>
      </w:r>
    </w:p>
    <w:p w:rsidR="007512DF" w:rsidRDefault="00000000">
      <w:pPr>
        <w:pStyle w:val="Teksttreci0"/>
        <w:numPr>
          <w:ilvl w:val="0"/>
          <w:numId w:val="2"/>
        </w:numPr>
        <w:tabs>
          <w:tab w:val="left" w:pos="359"/>
        </w:tabs>
        <w:spacing w:line="252" w:lineRule="auto"/>
      </w:pPr>
      <w:r>
        <w:t>wydatki w wysokości - 54.114.069,95 zł, z tego:</w:t>
      </w:r>
    </w:p>
    <w:p w:rsidR="007512DF" w:rsidRDefault="00000000">
      <w:pPr>
        <w:pStyle w:val="Teksttreci0"/>
        <w:numPr>
          <w:ilvl w:val="0"/>
          <w:numId w:val="4"/>
        </w:numPr>
        <w:tabs>
          <w:tab w:val="left" w:pos="253"/>
        </w:tabs>
        <w:spacing w:line="252" w:lineRule="auto"/>
      </w:pPr>
      <w:r>
        <w:t>wydatki bieżące - 35.857.587,95 zł,</w:t>
      </w:r>
    </w:p>
    <w:p w:rsidR="007512DF" w:rsidRDefault="00000000">
      <w:pPr>
        <w:pStyle w:val="Teksttreci0"/>
        <w:numPr>
          <w:ilvl w:val="0"/>
          <w:numId w:val="4"/>
        </w:numPr>
        <w:tabs>
          <w:tab w:val="left" w:pos="258"/>
        </w:tabs>
        <w:spacing w:line="252" w:lineRule="auto"/>
      </w:pPr>
      <w:r>
        <w:t>wydatki majątkowe - 18.256.482,00 zł;</w:t>
      </w:r>
    </w:p>
    <w:p w:rsidR="007512DF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52" w:lineRule="auto"/>
      </w:pPr>
      <w:r>
        <w:t>deficyt budżetu - 3.904.528,87 zł;</w:t>
      </w:r>
    </w:p>
    <w:p w:rsidR="007512DF" w:rsidRDefault="00000000">
      <w:pPr>
        <w:pStyle w:val="Teksttreci0"/>
        <w:numPr>
          <w:ilvl w:val="0"/>
          <w:numId w:val="2"/>
        </w:numPr>
        <w:tabs>
          <w:tab w:val="left" w:pos="359"/>
        </w:tabs>
        <w:spacing w:line="252" w:lineRule="auto"/>
      </w:pPr>
      <w:r>
        <w:t>przychody w kwocie - 5.195.928,87 zł, z tego:</w:t>
      </w:r>
    </w:p>
    <w:p w:rsidR="007512DF" w:rsidRDefault="00000000">
      <w:pPr>
        <w:pStyle w:val="Teksttreci0"/>
        <w:numPr>
          <w:ilvl w:val="0"/>
          <w:numId w:val="5"/>
        </w:numPr>
        <w:tabs>
          <w:tab w:val="left" w:pos="253"/>
        </w:tabs>
        <w:spacing w:line="252" w:lineRule="auto"/>
      </w:pPr>
      <w:r>
        <w:t>z tytułu planowanego kredytu lub pożyczki - 2.400.000,00 zł,</w:t>
      </w:r>
    </w:p>
    <w:p w:rsidR="007512DF" w:rsidRDefault="00000000">
      <w:pPr>
        <w:pStyle w:val="Teksttreci0"/>
        <w:numPr>
          <w:ilvl w:val="0"/>
          <w:numId w:val="5"/>
        </w:numPr>
        <w:tabs>
          <w:tab w:val="left" w:pos="253"/>
        </w:tabs>
        <w:spacing w:after="100" w:line="257" w:lineRule="auto"/>
        <w:jc w:val="both"/>
      </w:pPr>
      <w:r>
        <w:t>wolnych środków jako nadwyżki środków pieniężnych na rachunku bieżącym budżetu jednostki samorządu terytorialnego, wynikających z rozliczeń kredytów i pożyczek z lat ubiegłych - 2.706.000,00 zł,</w:t>
      </w:r>
    </w:p>
    <w:p w:rsidR="007512DF" w:rsidRDefault="00000000">
      <w:pPr>
        <w:pStyle w:val="Teksttreci0"/>
        <w:numPr>
          <w:ilvl w:val="0"/>
          <w:numId w:val="5"/>
        </w:numPr>
        <w:tabs>
          <w:tab w:val="left" w:pos="258"/>
        </w:tabs>
        <w:spacing w:line="257" w:lineRule="auto"/>
        <w:jc w:val="both"/>
      </w:pPr>
      <w:r>
        <w:t>niewykorzystanych środków pieniężnych na rachunku bieżącym budżetu, wynikających z rozliczenia środków określonych w art. 5 ust. 1 pkt 2 i dotacji na realizację programu, projektu lub zadania finansowanego z udziałem tych środków - 89.928,87 zł;</w:t>
      </w:r>
    </w:p>
    <w:p w:rsidR="007512DF" w:rsidRDefault="00000000">
      <w:pPr>
        <w:pStyle w:val="Teksttreci0"/>
        <w:numPr>
          <w:ilvl w:val="0"/>
          <w:numId w:val="2"/>
        </w:numPr>
        <w:tabs>
          <w:tab w:val="left" w:pos="303"/>
        </w:tabs>
        <w:spacing w:after="220"/>
      </w:pPr>
      <w:r>
        <w:t>rozchody w kwocie - 1.291.400,00 zł z tytułu spłat rat kredytów i pożyczek.</w:t>
      </w:r>
    </w:p>
    <w:p w:rsidR="007512DF" w:rsidRDefault="00000000">
      <w:pPr>
        <w:pStyle w:val="Teksttreci0"/>
        <w:spacing w:after="220"/>
        <w:jc w:val="both"/>
      </w:pPr>
      <w:r>
        <w:t xml:space="preserve">Zaplanowany deficyt w kwocie 3.904.528,87 zł, zostanie sfinansowany przychodami pochodzącymi z tytułu zaciągniętych kredytów i pożyczek, z niewykorzystanych środków pieniężnych na rachunku bieżącym budżetu, wynikających z rozliczenia środków określonych w art. 5 ust. 1 pkt 2 i dotacji na realizację programu, projektu lub zadania finansowanego z udziałem tych środków, z wolnych środków jako nadwyżki środków pieniężnych na rachunku bieżącym budżetu jednostki samorządu terytorialnego, wynikających z rozliczeń kredytów i pożyczek z lat ubiegłych. Wymienione źródła sfinansowania deficytu są </w:t>
      </w:r>
      <w:r>
        <w:lastRenderedPageBreak/>
        <w:t xml:space="preserve">zgodne z art. 217 ust. 2 pkt 2, 6, 8 </w:t>
      </w:r>
      <w:proofErr w:type="spellStart"/>
      <w:r>
        <w:t>ufp</w:t>
      </w:r>
      <w:proofErr w:type="spellEnd"/>
      <w:r>
        <w:t>.</w:t>
      </w:r>
    </w:p>
    <w:p w:rsidR="007512DF" w:rsidRDefault="00000000">
      <w:pPr>
        <w:pStyle w:val="Teksttreci0"/>
        <w:spacing w:after="220"/>
        <w:jc w:val="both"/>
      </w:pPr>
      <w:r>
        <w:t>Łącznie z uchwałą budżetową na 2023 rok została przekazana w formie dokumentu elektronicznego uchwała Rady Miejskiej Węglińca nr 971/LYII/22 z dnia 29 grudnia 2022 r. w sprawie przyjęcia Wieloletniej Prognozy Finansowej Gminy i Miasta Węgliniec, zawierająca prognozę kwoty długu i jego spłaty w latach 2023-2040. Z prognozy tej wynika, że kwota długu na koniec 2023 roku wyniesie 13.092.029,00 zł. Na kwotę długu składają się kredyty i pożyczki zaciągnięte w latach poprzednich oraz kredyty i pożyczki planowane do zaciągnięcia w 2023 roku.</w:t>
      </w:r>
    </w:p>
    <w:p w:rsidR="007512DF" w:rsidRDefault="00000000">
      <w:pPr>
        <w:pStyle w:val="Teksttreci0"/>
        <w:spacing w:after="220"/>
        <w:ind w:firstLine="400"/>
        <w:jc w:val="both"/>
      </w:pPr>
      <w:r>
        <w:t xml:space="preserve">Jak wynika z wieloletniej prognozy finansowej obliczone na podstawie prognozowanych wielkości w latach 2023-2040 relacje spłat zobowiązań finansowych i kosztów ich obsługi określone w art. 243 </w:t>
      </w:r>
      <w:proofErr w:type="spellStart"/>
      <w:r>
        <w:t>ufp</w:t>
      </w:r>
      <w:proofErr w:type="spellEnd"/>
      <w:r>
        <w:t>, przy zastosowaniu w latach 2023-2025 średnich arytmetycznych z ostatnich siedmiu lat, nie przekraczają dopuszczalnych poziomów obciążenia budżetu ich spłatą. Skład Orzekający zwraca jednak uwagę, że przestrzeganie limitów określonych przepisami o finansach publicznych nie chroni przed utratą zdolności do finansowania właściwej realizacji zadań własnych gminy, co organy gminy winny mieć na uwadze planując zaciąganie zobowiązań długoterminowych.</w:t>
      </w:r>
    </w:p>
    <w:p w:rsidR="007512DF" w:rsidRDefault="00000000">
      <w:pPr>
        <w:pStyle w:val="Teksttreci0"/>
        <w:spacing w:after="100"/>
        <w:ind w:firstLine="400"/>
        <w:jc w:val="both"/>
      </w:pPr>
      <w:r>
        <w:t xml:space="preserve">Niniejsza opinia, zgodnie z art. 246 ust. 2 </w:t>
      </w:r>
      <w:proofErr w:type="spellStart"/>
      <w:r>
        <w:t>ufp</w:t>
      </w:r>
      <w:proofErr w:type="spellEnd"/>
      <w:r>
        <w:t>., podlega publikacji przez jednostkę samorządu terytorialnego na zasadach określonych w ustawie z dnia 6 września 2001 r. o dostępie do informacji publicznej (Dz.U. z 2022 r. poz. 902) w terminie 7 dni od dnia jej otrzymania.</w:t>
      </w:r>
    </w:p>
    <w:p w:rsidR="007512DF" w:rsidRDefault="00000000">
      <w:pPr>
        <w:pStyle w:val="Teksttreci0"/>
        <w:spacing w:after="360"/>
        <w:ind w:firstLine="400"/>
        <w:jc w:val="both"/>
      </w:pPr>
      <w:r>
        <w:t>Od niniejszej uchwały przysługuje zgodnie z art. 20 ust. 1 ustawy o regionalnych izbach obrachunkowych odwołanie do Kolegium Regionalnej Izby Obrachunkowej we Wrocławiu w terminie 14 dni od dnia doręczenia uchwały.</w:t>
      </w:r>
    </w:p>
    <w:p w:rsidR="007512DF" w:rsidRDefault="00000000">
      <w:pPr>
        <w:pStyle w:val="Teksttreci0"/>
        <w:spacing w:after="0"/>
        <w:ind w:left="6080"/>
      </w:pPr>
      <w:r>
        <w:t>Przewodnicząca</w:t>
      </w:r>
    </w:p>
    <w:p w:rsidR="007512DF" w:rsidRDefault="00000000">
      <w:pPr>
        <w:pStyle w:val="Teksttreci0"/>
        <w:spacing w:after="260"/>
        <w:ind w:left="5860"/>
      </w:pPr>
      <w:r>
        <w:t>Składu Orzekającego</w:t>
      </w:r>
    </w:p>
    <w:p w:rsidR="007512DF" w:rsidRDefault="00000000">
      <w:pPr>
        <w:pStyle w:val="Teksttreci0"/>
        <w:spacing w:after="220"/>
        <w:ind w:left="5960"/>
      </w:pPr>
      <w:r>
        <w:t>Magdalena Macias</w:t>
      </w:r>
    </w:p>
    <w:sectPr w:rsidR="007512DF">
      <w:footerReference w:type="default" r:id="rId7"/>
      <w:pgSz w:w="11900" w:h="16840"/>
      <w:pgMar w:top="615" w:right="328" w:bottom="1384" w:left="1136" w:header="18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00C2" w:rsidRDefault="00D000C2">
      <w:r>
        <w:separator/>
      </w:r>
    </w:p>
  </w:endnote>
  <w:endnote w:type="continuationSeparator" w:id="0">
    <w:p w:rsidR="00D000C2" w:rsidRDefault="00D00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512D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739775</wp:posOffset>
              </wp:positionH>
              <wp:positionV relativeFrom="page">
                <wp:posOffset>10119995</wp:posOffset>
              </wp:positionV>
              <wp:extent cx="2243455" cy="8826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345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512DF" w:rsidRDefault="00000000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Id: E0847118-D3B3-4C66-9D4D-7BD66E4A014B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8.25pt;margin-top:796.85pt;width:176.65pt;height:6.9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/TFggEAAP8CAAAOAAAAZHJzL2Uyb0RvYy54bWysUsFOwzAMvSPxD1HurFvZ0FStm0AIhIQA&#10;CfiALE3WSk0cxdna/T1O1m0IboiL69ju8/OzF6vetGynPDZgSz4ZjTlTVkLV2E3JPz8eruacYRC2&#10;Ei1YVfK9Qr5aXl4sOleoHGpoK+UZgVgsOlfyOgRXZBnKWhmBI3DKUlKDNyLQ02+yyouO0E2b5ePx&#10;TdaBr5wHqRApen9I8mXC11rJ8Ko1qsDakhO3kKxPdh1ttlyIYuOFqxs50BB/YGFEY6npCepeBMG2&#10;vvkFZRrpAUGHkQSTgdaNVGkGmmYy/jHNey2cSrOQOOhOMuH/wcqX3bt78yz0d9DTAqMgncMCKRjn&#10;6bU38UtMGeVJwv1JNtUHJimY59Pr6WzGmaTcfJ7fzCJKdv7ZeQyPCgyLTsk9bSWJJXbPGA6lx5LY&#10;y8JD07YxfmYSvdCv+4HeGqo9se5ocSW3dFmctU+WdIk7Pjr+6KwHJ4Kju90GapD6RtQD1NCMVE7M&#10;h4uIa/z+TlXnu11+AQAA//8DAFBLAwQUAAYACAAAACEA1s+PRd8AAAANAQAADwAAAGRycy9kb3du&#10;cmV2LnhtbEyPzU7DMBCE70i8g7VI3KhToE6bxqlQJS7cKAiJmxtv46j+iWw3Td6e5QS3nd3R7Df1&#10;bnKWjRhTH7yE5aIAhr4NuvedhM+P14c1sJSV18oGjxJmTLBrbm9qVelw9e84HnLHKMSnSkkwOQ8V&#10;56k16FRahAE93U4hOpVJxo7rqK4U7ix/LArBneo9fTBqwL3B9ny4OAnl9BVwSLjH79PYRtPPa/s2&#10;S3l/N71sgWWc8p8ZfvEJHRpiOoaL14lZ0kuxIisNq81TCYwsz2JDbY60EkUpgDc1/9+i+QEAAP//&#10;AwBQSwECLQAUAAYACAAAACEAtoM4kv4AAADhAQAAEwAAAAAAAAAAAAAAAAAAAAAAW0NvbnRlbnRf&#10;VHlwZXNdLnhtbFBLAQItABQABgAIAAAAIQA4/SH/1gAAAJQBAAALAAAAAAAAAAAAAAAAAC8BAABf&#10;cmVscy8ucmVsc1BLAQItABQABgAIAAAAIQBPo/TFggEAAP8CAAAOAAAAAAAAAAAAAAAAAC4CAABk&#10;cnMvZTJvRG9jLnhtbFBLAQItABQABgAIAAAAIQDWz49F3wAAAA0BAAAPAAAAAAAAAAAAAAAAANwD&#10;AABkcnMvZG93bnJldi54bWxQSwUGAAAAAAQABADzAAAA6AQAAAAA&#10;" filled="f" stroked="f">
              <v:textbox style="mso-fit-shape-to-text:t" inset="0,0,0,0">
                <w:txbxContent>
                  <w:p w:rsidR="007512DF" w:rsidRDefault="00000000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Id: E0847118-D3B3-4C66-9D4D-7BD66E4A014B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00C2" w:rsidRDefault="00D000C2"/>
  </w:footnote>
  <w:footnote w:type="continuationSeparator" w:id="0">
    <w:p w:rsidR="00D000C2" w:rsidRDefault="00D000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028A6"/>
    <w:multiLevelType w:val="multilevel"/>
    <w:tmpl w:val="4CF83D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116E37"/>
    <w:multiLevelType w:val="multilevel"/>
    <w:tmpl w:val="F5B6FD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E3769FE"/>
    <w:multiLevelType w:val="multilevel"/>
    <w:tmpl w:val="1378340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E87620"/>
    <w:multiLevelType w:val="multilevel"/>
    <w:tmpl w:val="D2FA47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80D5365"/>
    <w:multiLevelType w:val="multilevel"/>
    <w:tmpl w:val="0B88BB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92919025">
    <w:abstractNumId w:val="3"/>
  </w:num>
  <w:num w:numId="2" w16cid:durableId="1584683750">
    <w:abstractNumId w:val="2"/>
  </w:num>
  <w:num w:numId="3" w16cid:durableId="704208203">
    <w:abstractNumId w:val="1"/>
  </w:num>
  <w:num w:numId="4" w16cid:durableId="294259305">
    <w:abstractNumId w:val="4"/>
  </w:num>
  <w:num w:numId="5" w16cid:durableId="116484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2DF"/>
    <w:rsid w:val="006D4488"/>
    <w:rsid w:val="007512DF"/>
    <w:rsid w:val="00B34F6A"/>
    <w:rsid w:val="00D0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50242"/>
  <w15:docId w15:val="{FF9DABDB-0D43-4629-9688-3CCA73C7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47F99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7F99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line="221" w:lineRule="auto"/>
      <w:ind w:left="7680" w:right="360"/>
    </w:pPr>
    <w:rPr>
      <w:rFonts w:ascii="Arial" w:eastAsia="Arial" w:hAnsi="Arial" w:cs="Arial"/>
      <w:sz w:val="11"/>
      <w:szCs w:val="11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240" w:line="209" w:lineRule="auto"/>
      <w:ind w:right="320"/>
      <w:jc w:val="right"/>
    </w:pPr>
    <w:rPr>
      <w:rFonts w:ascii="Arial" w:eastAsia="Arial" w:hAnsi="Arial" w:cs="Arial"/>
      <w:color w:val="F47F99"/>
      <w:sz w:val="19"/>
      <w:szCs w:val="19"/>
    </w:rPr>
  </w:style>
  <w:style w:type="paragraph" w:customStyle="1" w:styleId="Nagwek10">
    <w:name w:val="Nagłówek #1"/>
    <w:basedOn w:val="Normalny"/>
    <w:link w:val="Nagwek1"/>
    <w:pPr>
      <w:ind w:right="820"/>
      <w:jc w:val="right"/>
      <w:outlineLvl w:val="0"/>
    </w:pPr>
    <w:rPr>
      <w:rFonts w:ascii="Times New Roman" w:eastAsia="Times New Roman" w:hAnsi="Times New Roman" w:cs="Times New Roman"/>
      <w:color w:val="F47F99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180" w:line="252" w:lineRule="auto"/>
      <w:ind w:left="1770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2023-02-07T13:12:00Z</dcterms:created>
  <dcterms:modified xsi:type="dcterms:W3CDTF">2023-02-07T13:16:00Z</dcterms:modified>
</cp:coreProperties>
</file>