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1236/LXXII/23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grudnia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788/XXXIV/17 Rady Miejskiej Węglińca z dnia 31 sierpnia 2017 r. w sprawie szczegółowych warunków przyznawania i odpłatności za usługi opiekuńcze i specjalistyczne usługi opiekuńcze, z wyłączeniem specjalistycznych usług opiekuńczych dla osób z zaburzeniami psychicznymi oraz szczegółowych warunków częściowego lub całkowitego zwolnienia z opłat, jak również trybu ich pobierania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o samorządzie gminnym (Dz. U. z 2023r., poz. 40 z późn. zm.) w związku z art. 50, ust. 6 ustawy z dnia 12 marca 2004 r. o pomocy społecznej (Dz. U. z 2023r., poz. 901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788/XXXIV/17 Rady Miejskiej Węglińca z dnia 31 sierpnia 2017 r. w sprawie szczegółowych warunków przyznawania i odpłatności za usługi opiekuńcze i specjalistyczne usługi opiekuńcze, z wyłączeniem specjalistycznych usług opiekuńczych dla osób z zaburzeniami psychicznymi oraz szczegółowych warunków częściowego lub całkowitego zwolnienia z opłat, jak również trybu ich pobierania,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§ 5, przez wprowadzenie ust. 1, który otrzymuje brzmienie: ”1. Ustala się koszt 1 godziny usług opiekuńczych bez zakwaterowania w wysokości 40,00 zł brutto.„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5 po ust. 1 dodaje się ust. 2 o następującej treści: "2. Ustala się koszt 1 godziny specjalistycznych usług opiekuńczych bez zakwaterowania w wysokości 110,00 zł brutto."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jej ogłoszenia w Dzienniku Urzędowym Województwa Dolnośląskiego, z mocą obowiązującą od 1 stycznia 2024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Wprowadzenie nowych stawek za 1 godzinę usług opiekuńczych i specjalistycznych usług opiekuńczych związane jest ze zmianą kosztów świadczenia usług podaną przez oferenta świadczącego usługi od 01 stycznia 2024r.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0D0ACAB2-0859-4E96-A0FB-38CC4415D75C.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1236/LXXII/23 z dnia 14 grudnia 2023 r.</dc:title>
  <dc:subject>w sprawie zmiany uchwały nr 788/XXXIV/17 Rady Miejskiej Węglińca z^dnia 31^sierpnia 2017^r. w^sprawie szczegółowych warunków przyznawania i^odpłatności za usługi opiekuńcze i^specjalistyczne usługi opiekuńcze, z^wyłączeniem specjalistycznych usług opiekuńczych dla osób z^zaburzeniami psychicznymi oraz szczegółowych warunków częściowego lub całkowitego zwolnienia z^opłat, jak również trybu ich pobierania</dc:subject>
  <dc:creator>Tatiana</dc:creator>
  <cp:lastModifiedBy>Tatiana</cp:lastModifiedBy>
  <cp:revision>1</cp:revision>
  <dcterms:created xsi:type="dcterms:W3CDTF">2023-12-18T11:50:56Z</dcterms:created>
  <dcterms:modified xsi:type="dcterms:W3CDTF">2023-12-18T11:50:56Z</dcterms:modified>
  <cp:category>Akt prawny</cp:category>
</cp:coreProperties>
</file>