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3/I/2024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7 maja 2024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członków stałych komisji Rady Miejskiej Węglińca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21 ust. 1 ustawy z dnia 8 marca 1990 r. o samorządzie gminnym (Dz. U. z 2024 r., poz. 609) oraz §1 ust 3,4  uchwały nr 453/XXVIII/20 Rady Miejskiej Węglińca z dnia 8 grudnia 2020r. w sprawie ustalenia stanów liczebnych stałych komisji Rady Miejskiej Węglińca, 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skład Komisji Gospodarczej powołuje się radnych: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Łukasz Pańków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Elżbieta Grabowska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Piotr Kardach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Łukasz Kocot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Bogumiła Glonek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Daniel Siedlak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skład Komisji Społecznej powołuje się radnych: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Jolanta Gołębska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Wanda Batog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Elżbieta Grabowska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Andrzej Fink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Łukasz Pańków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Dariusz Stelwach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Maria Fedyczkowska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Przewodniczącemu Rady Miejskiej Węglińca.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 życie z 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2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Zgodnie z art. 21 ust. 1 ustawy o samorządzie gminnym Rada ze swojego grona może powołać stałe komisje ustalając skład osobowy.   Natomiast zgodnie z art. 18a ust. 2 ustawy o samorządzie gminnym w skład komisji rewizyjnej wchodzą radni, w tym przedstawiciele wszystkich klubów, z wyjątkiem radnych pełniących funkcje, o których mowa w art. 19 ust. 1 w/w ustawy.   Zgodnie z uchwałą nr 453/XXVIII/20 Rady Miejskiej Węglińca z dnia 8 grudnia 2020 r. ustalony stan liczebny komisji stałych Rady Miejskiej Węglińca, do składu Komisji Gospodarczej powołuję się 6 radnych, do składu komisji Społecznej powołuję się 7 radnych.</w:t>
      </w: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4DFD7291-A63F-4681-9C6E-CF6AE923E2FF.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3/I/2024 z dnia 7 maja 2024 r.</dc:title>
  <dc:subject>w sprawie powołania członków stałych komisji Rady Miejskiej Węglińca</dc:subject>
  <dc:creator>Tatiana</dc:creator>
  <cp:lastModifiedBy>Tatiana</cp:lastModifiedBy>
  <cp:revision>1</cp:revision>
  <dcterms:created xsi:type="dcterms:W3CDTF">2024-05-10T10:50:35Z</dcterms:created>
  <dcterms:modified xsi:type="dcterms:W3CDTF">2024-05-10T10:50:35Z</dcterms:modified>
  <cp:category>Akt prawny</cp:category>
</cp:coreProperties>
</file>