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wyboru Przewodniczącego Rady Miejskiej Węglińca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19 ust. 1ustawy z dnia 8 marca 1990 r. o samorządzie gminnym (Dz. U. z 2024 r., poz. 609) oraz § 17 ust. 2 uchwały nr 35/VI/03 Rady Gminy i Miasta Węgliniec z dnia 12 marca 2003 r. w sprawie Statutu Gminy i Miasta Węgliniec (opublikowanej w Dzienniku Urzędowym Województwa Dolnośląskiego nr 50, poz. 1178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drodze głosowania tajnego, do pełnienia funkcji Przewodniczącego Rady Miejskiej Węglińca, wybrano radnego Marka Wawrzynka.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4"/>
              </w:rPr>
              <w:t xml:space="preserve">                                                                             Przewodnicząca obrad Radna Senior</w:t>
            </w:r>
          </w:p>
          <w:p>
            <w:pPr>
              <w:jc w:val="left"/>
            </w:pPr>
            <w:r>
              <w:rPr>
                <w:b/>
                <w:sz w:val="24"/>
              </w:rPr>
              <w:t xml:space="preserve">                                                                                            Wanada Batog</w:t>
            </w:r>
          </w:p>
          <w:p/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związku z rozpoczęciem działalności nowej kadencji Rady, należy dokonać wyboru Przewodniczącego Rady.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3595DED5-B87D-40F5-B989-C1C59A6153CC.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1/I/2024 z dnia 7 maja 2024 r.</dc:title>
  <dc:subject>w sprawie wyboru Przewodniczącego Rady Miejskiej Węglińca</dc:subject>
  <dc:creator>Tatiana</dc:creator>
  <cp:lastModifiedBy>Tatiana</cp:lastModifiedBy>
  <cp:revision>1</cp:revision>
  <dcterms:created xsi:type="dcterms:W3CDTF">2024-05-10T10:46:02Z</dcterms:created>
  <dcterms:modified xsi:type="dcterms:W3CDTF">2024-05-10T10:46:02Z</dcterms:modified>
  <cp:category>Akt prawny</cp:category>
</cp:coreProperties>
</file>