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F3052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95/VII/2024 </w:t>
      </w:r>
    </w:p>
    <w:p w:rsidR="006F3052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F305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F3052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6F3052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103/4 o powierzchni 170,00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Ruszowie z Panem </w:t>
      </w:r>
      <w:r w:rsidRPr="00502EFF">
        <w:rPr>
          <w:rFonts w:ascii="Times New Roman" w:eastAsia="Times New Roman" w:hAnsi="Times New Roman" w:cs="Times New Roman"/>
          <w:shd w:val="clear" w:color="auto" w:fill="000000" w:themeFill="text1"/>
        </w:rPr>
        <w:t>Januszem Sokalskim</w:t>
      </w:r>
      <w:r>
        <w:rPr>
          <w:rFonts w:ascii="Times New Roman" w:eastAsia="Times New Roman" w:hAnsi="Times New Roman" w:cs="Times New Roman"/>
        </w:rPr>
        <w:t xml:space="preserve">, z przeznaczeniem na cele rekreacyjne. </w:t>
      </w:r>
    </w:p>
    <w:p w:rsidR="006F3052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F305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6F305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F3052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6F3052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6F305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6F3052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6F305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F305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BF8A93D3-ACDB-486A-948F-4444888EB11E.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F3052" w:rsidSect="00CC5FFF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052"/>
    <w:rsid w:val="00502EFF"/>
    <w:rsid w:val="006F3052"/>
    <w:rsid w:val="00C12534"/>
    <w:rsid w:val="00CC5FFF"/>
    <w:rsid w:val="00D4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95/VII/2024 Rady Miejskiej Węglińca z dnia 26 września 2024 r. w sprawie wyrażenia zgody na odstąpienie od obowiązku trybu przetargowego i zawarcie umowy dzierżawy gruntu na cele rekreacyjne</dc:title>
  <dc:subject>Uchwała Nr 95/VII/2024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2024-09-30T05:55:00Z</dcterms:created>
  <dcterms:modified xsi:type="dcterms:W3CDTF">2024-09-30T14:05:00Z</dcterms:modified>
</cp:coreProperties>
</file>