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2592C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94/VII/2024 </w:t>
      </w:r>
    </w:p>
    <w:p w:rsidR="00D2592C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D2592C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D2592C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D2592C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poz.609) w związku z art. 37 ust. 4 ustawy z dnia 21 sierpnia 1997 r. o gospodarce nieruchomościami (Dz. U. z 2024r., poz. 1145) Rada Miejska Węglińca uchwala, co następuje: </w:t>
      </w:r>
    </w:p>
    <w:p w:rsidR="00D2592C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50/6 o powierzchni 90,60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położonej w Węglińcu z Panią </w:t>
      </w:r>
      <w:r w:rsidRPr="0098257E">
        <w:rPr>
          <w:rFonts w:ascii="Times New Roman" w:eastAsia="Times New Roman" w:hAnsi="Times New Roman" w:cs="Times New Roman"/>
          <w:shd w:val="clear" w:color="auto" w:fill="000000" w:themeFill="text1"/>
        </w:rPr>
        <w:t>Krystyną Majewską</w:t>
      </w:r>
      <w:r>
        <w:rPr>
          <w:rFonts w:ascii="Times New Roman" w:eastAsia="Times New Roman" w:hAnsi="Times New Roman" w:cs="Times New Roman"/>
        </w:rPr>
        <w:t xml:space="preserve"> , z przeznaczeniem na cele rekreacyjne. </w:t>
      </w:r>
    </w:p>
    <w:p w:rsidR="00D2592C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D2592C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D2592C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D2592C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D2592C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D2592C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D2592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2592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2592C" w:rsidRDefault="00000000">
      <w:pPr>
        <w:spacing w:after="541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D2592C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D2592C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D2592C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D2592C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2592C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B3A27C2A-1630-48D7-B4E8-CF7EF0C27805.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2592C" w:rsidSect="0056748B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92C"/>
    <w:rsid w:val="0056748B"/>
    <w:rsid w:val="0098257E"/>
    <w:rsid w:val="00A65D71"/>
    <w:rsid w:val="00C12534"/>
    <w:rsid w:val="00D2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D49115-A687-4147-9E0D-188E6495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94/VII/2024 Rady Miejskiej Węglińca z dnia 26 września 2024 r. w sprawie wyrażenia zgody na odstąpienie od obowiązku trybu przetargowego i zawarcie umowy dzierżawy gruntu na cele rekreacyjne</dc:title>
  <dc:subject>Uchwała Nr 94/VII/2024 z dnia 26 września 2024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dcterms:created xsi:type="dcterms:W3CDTF">2024-09-30T05:50:00Z</dcterms:created>
  <dcterms:modified xsi:type="dcterms:W3CDTF">2024-09-30T14:04:00Z</dcterms:modified>
</cp:coreProperties>
</file>