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594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92/VII/2024 </w:t>
      </w:r>
    </w:p>
    <w:p w:rsidR="000D5946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0D5946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0D5946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0D5946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2024r., poz. 1145) Rada Miejska Węglińca uchwala, co następuje: </w:t>
      </w:r>
    </w:p>
    <w:p w:rsidR="000D5946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1/66 o łącznej  powierzchni 98,70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 ( I- 35 m</w:t>
      </w:r>
      <w:r>
        <w:rPr>
          <w:rFonts w:ascii="Times New Roman" w:eastAsia="Times New Roman" w:hAnsi="Times New Roman" w:cs="Times New Roman"/>
          <w:vertAlign w:val="superscript"/>
        </w:rPr>
        <w:t xml:space="preserve">2 ,  </w:t>
      </w:r>
      <w:r>
        <w:rPr>
          <w:rFonts w:ascii="Times New Roman" w:eastAsia="Times New Roman" w:hAnsi="Times New Roman" w:cs="Times New Roman"/>
        </w:rPr>
        <w:t xml:space="preserve"> I- 63,70 m</w:t>
      </w:r>
      <w:r>
        <w:rPr>
          <w:rFonts w:ascii="Times New Roman" w:eastAsia="Times New Roman" w:hAnsi="Times New Roman" w:cs="Times New Roman"/>
          <w:vertAlign w:val="superscript"/>
        </w:rPr>
        <w:t xml:space="preserve">2 )   </w:t>
      </w:r>
      <w:r>
        <w:rPr>
          <w:rFonts w:ascii="Times New Roman" w:eastAsia="Times New Roman" w:hAnsi="Times New Roman" w:cs="Times New Roman"/>
        </w:rPr>
        <w:t xml:space="preserve">położonej w Węglińcu Z Panem </w:t>
      </w:r>
      <w:r w:rsidRPr="007A1365">
        <w:rPr>
          <w:rFonts w:ascii="Times New Roman" w:eastAsia="Times New Roman" w:hAnsi="Times New Roman" w:cs="Times New Roman"/>
          <w:shd w:val="clear" w:color="auto" w:fill="000000" w:themeFill="text1"/>
        </w:rPr>
        <w:t xml:space="preserve">Władysławem </w:t>
      </w:r>
      <w:proofErr w:type="spellStart"/>
      <w:r w:rsidRPr="007A1365">
        <w:rPr>
          <w:rFonts w:ascii="Times New Roman" w:eastAsia="Times New Roman" w:hAnsi="Times New Roman" w:cs="Times New Roman"/>
          <w:shd w:val="clear" w:color="auto" w:fill="000000" w:themeFill="text1"/>
        </w:rPr>
        <w:t>Robocień</w:t>
      </w:r>
      <w:proofErr w:type="spellEnd"/>
      <w:r>
        <w:rPr>
          <w:rFonts w:ascii="Times New Roman" w:eastAsia="Times New Roman" w:hAnsi="Times New Roman" w:cs="Times New Roman"/>
        </w:rPr>
        <w:t xml:space="preserve">, z przeznaczeniem na cele rekreacyjne. </w:t>
      </w:r>
    </w:p>
    <w:p w:rsidR="000D5946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0D5946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0D5946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0D5946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0D5946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0D5946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0D594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D5946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0D5946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0D5946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0D5946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0D5946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0D5946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0D5946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841B0D95-DAEC-435E-B454-4E6A79F6E9DE.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0D5946" w:rsidSect="00A457B4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946"/>
    <w:rsid w:val="000D5946"/>
    <w:rsid w:val="007A1365"/>
    <w:rsid w:val="00A457B4"/>
    <w:rsid w:val="00C12534"/>
    <w:rsid w:val="00CC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92/VII/2024 Rady Miejskiej Węglińca z dnia 26 września 2024 r. w sprawie wyrażenia zgody na odstąpienie od obowiązku trybu przetargowego i zawarcie umowy dzierżawy gruntu na cele rekreacyjne</dc:title>
  <dc:subject>Uchwała Nr 92/VII/2024 z dnia 26 września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2024-09-30T05:38:00Z</dcterms:created>
  <dcterms:modified xsi:type="dcterms:W3CDTF">2024-09-30T14:03:00Z</dcterms:modified>
</cp:coreProperties>
</file>