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86EAE" w:rsidRDefault="00086EAE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086EAE" w:rsidRDefault="00086EAE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BF76B4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84/VII/2024 </w:t>
      </w:r>
    </w:p>
    <w:p w:rsidR="00BF76B4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BF76B4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F76B4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BF76B4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609) w związku z art. 37 ust. 4 ustawy z dnia 21 sierpnia 1997 r. o gospodarce nieruchomościami (Dz. U. z 2024 r., poz. 1145) Rada Miejska Węglińca uchwala, co następuje: </w:t>
      </w:r>
    </w:p>
    <w:p w:rsidR="00BF76B4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pomieszczenie gospodarcze o powierzchni  13,40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na czas nieoznaczony, położone w Węglińcu,  na działce o numerze ewidencyjnym 50/6 z  Panią  </w:t>
      </w:r>
      <w:r w:rsidRPr="00BC41E1">
        <w:rPr>
          <w:rFonts w:ascii="Times New Roman" w:eastAsia="Times New Roman" w:hAnsi="Times New Roman" w:cs="Times New Roman"/>
          <w:shd w:val="clear" w:color="auto" w:fill="000000" w:themeFill="text1"/>
        </w:rPr>
        <w:t>Krystyną Majewską.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BF76B4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BF76B4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BF76B4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BF76B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BF76B4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BF76B4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BF76B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F76B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F76B4" w:rsidRDefault="00000000">
      <w:pPr>
        <w:spacing w:after="557" w:line="241" w:lineRule="auto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BF76B4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BF76B4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BF76B4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BF76B4" w:rsidRDefault="00000000">
      <w:pPr>
        <w:spacing w:after="464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BF76B4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F76B4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C421877F-7C1E-46D4-88CD-E8E67EFE238C.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F76B4" w:rsidSect="00086EAE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6B4"/>
    <w:rsid w:val="00086EAE"/>
    <w:rsid w:val="006D0947"/>
    <w:rsid w:val="00BC41E1"/>
    <w:rsid w:val="00BF76B4"/>
    <w:rsid w:val="00D0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84/VII/2024 Rady Miejskiej Węglińca z dnia 26 września 2024 r. w sprawie wyrażenia zgody na odstąpienie od obowiązku trybu przetargowego i zawarcie umowy najmu pomieszczeń gospodarczych</dc:title>
  <dc:subject>Uchwała Nr 84/VII/2024 z dnia 26 września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2024-09-27T10:43:00Z</dcterms:created>
  <dcterms:modified xsi:type="dcterms:W3CDTF">2024-09-30T13:57:00Z</dcterms:modified>
</cp:coreProperties>
</file>