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F1E01" w14:textId="77777777" w:rsidR="00D30836" w:rsidRDefault="00000000">
      <w:pPr>
        <w:pStyle w:val="Teksttreci0"/>
        <w:spacing w:after="80" w:line="283" w:lineRule="auto"/>
        <w:ind w:firstLine="0"/>
        <w:jc w:val="center"/>
      </w:pPr>
      <w:r>
        <w:rPr>
          <w:rStyle w:val="Teksttreci"/>
          <w:b/>
          <w:bCs/>
        </w:rPr>
        <w:t>ZARZĄDZENIE NR 10/2025</w:t>
      </w:r>
    </w:p>
    <w:p w14:paraId="5CEEE9DF" w14:textId="77777777" w:rsidR="00D30836" w:rsidRDefault="00000000">
      <w:pPr>
        <w:pStyle w:val="Teksttreci0"/>
        <w:spacing w:after="500" w:line="283" w:lineRule="auto"/>
        <w:ind w:firstLine="0"/>
        <w:jc w:val="center"/>
      </w:pPr>
      <w:r>
        <w:rPr>
          <w:rStyle w:val="Teksttreci"/>
          <w:b/>
          <w:bCs/>
        </w:rPr>
        <w:t>Burmistrza Gminy i Miasta Węgliniec z dnia 15 stycznia 2025 r.</w:t>
      </w:r>
    </w:p>
    <w:p w14:paraId="548F0439" w14:textId="77777777" w:rsidR="00D30836" w:rsidRDefault="00000000">
      <w:pPr>
        <w:pStyle w:val="Teksttreci0"/>
        <w:spacing w:line="283" w:lineRule="auto"/>
        <w:ind w:firstLine="0"/>
        <w:jc w:val="center"/>
      </w:pPr>
      <w:r>
        <w:rPr>
          <w:rStyle w:val="Teksttreci"/>
          <w:b/>
          <w:bCs/>
        </w:rPr>
        <w:t>w sprawie stwierdzenia istnienia przesłanek organizacyjnych, o których mowa w</w:t>
      </w:r>
      <w:r>
        <w:rPr>
          <w:rStyle w:val="Teksttreci"/>
          <w:b/>
          <w:bCs/>
        </w:rPr>
        <w:br/>
        <w:t>art. 147 ust. 5 ustawy o doręczeniach elektronicznych</w:t>
      </w:r>
    </w:p>
    <w:p w14:paraId="0DA1F459" w14:textId="77777777" w:rsidR="00D30836" w:rsidRDefault="00000000">
      <w:pPr>
        <w:pStyle w:val="Teksttreci0"/>
        <w:spacing w:after="1300" w:line="283" w:lineRule="auto"/>
        <w:ind w:firstLine="0"/>
        <w:jc w:val="center"/>
      </w:pPr>
      <w:r>
        <w:rPr>
          <w:rStyle w:val="Teksttreci"/>
          <w:b/>
          <w:bCs/>
        </w:rPr>
        <w:t xml:space="preserve">(Dz.U. z 2024 r. poz. 1045 z </w:t>
      </w:r>
      <w:proofErr w:type="spellStart"/>
      <w:r>
        <w:rPr>
          <w:rStyle w:val="Teksttreci"/>
          <w:b/>
          <w:bCs/>
        </w:rPr>
        <w:t>późn</w:t>
      </w:r>
      <w:proofErr w:type="spellEnd"/>
      <w:r>
        <w:rPr>
          <w:rStyle w:val="Teksttreci"/>
          <w:b/>
          <w:bCs/>
        </w:rPr>
        <w:t>. zm.)</w:t>
      </w:r>
    </w:p>
    <w:p w14:paraId="1927B48E" w14:textId="77777777" w:rsidR="00D30836" w:rsidRDefault="00000000">
      <w:pPr>
        <w:pStyle w:val="Teksttreci0"/>
        <w:spacing w:after="500" w:line="343" w:lineRule="auto"/>
        <w:ind w:firstLine="740"/>
        <w:jc w:val="both"/>
      </w:pPr>
      <w:r>
        <w:rPr>
          <w:rStyle w:val="Teksttreci"/>
        </w:rPr>
        <w:t xml:space="preserve">Na podstawie art. 33 ust. 3 ustawy z dnia 8 marca 1990 r o samorządzie gminnym (Dz.U. z 2024 r. poz. 1465, 1572) oraz art. 147 ust. 5 ustawy z dnia 18 listopada 2020 r. o doręczeniach elektronicznych (Dz. U. z 2024 r. poz. 1045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 zarządza się, co następuje:</w:t>
      </w:r>
    </w:p>
    <w:p w14:paraId="2346643C" w14:textId="77777777" w:rsidR="00D30836" w:rsidRDefault="00000000">
      <w:pPr>
        <w:pStyle w:val="Nagwek20"/>
        <w:keepNext/>
        <w:keepLines/>
        <w:spacing w:after="80"/>
      </w:pPr>
      <w:bookmarkStart w:id="0" w:name="bookmark2"/>
      <w:r>
        <w:rPr>
          <w:rStyle w:val="Nagwek2"/>
          <w:b/>
          <w:bCs/>
        </w:rPr>
        <w:t>§1</w:t>
      </w:r>
      <w:bookmarkEnd w:id="0"/>
    </w:p>
    <w:p w14:paraId="5E80118F" w14:textId="77777777" w:rsidR="00D30836" w:rsidRDefault="00000000">
      <w:pPr>
        <w:pStyle w:val="Teksttreci0"/>
        <w:ind w:firstLine="740"/>
        <w:jc w:val="both"/>
      </w:pPr>
      <w:r>
        <w:rPr>
          <w:rStyle w:val="Teksttreci"/>
        </w:rPr>
        <w:t>Z uwagi na przesłanki organizacyjne polegające na masowym charakterze wysyłki korespondencji i utrudnieniach związanych z automatycznym odszukaniem adresu do doręczeń elektronicznych w bazie adresów elektronicznych, do dnia 31 grudnia 2025 r. nie stosuje się przepisu art. 4 i 5 ustawy o doręczeniach elektronicznych, tj. nie doręcza się korespondencji na adres do doręczeń elektronicznych w zakresie spraw związanych:</w:t>
      </w:r>
    </w:p>
    <w:p w14:paraId="722E8AE4" w14:textId="77777777" w:rsidR="00D30836" w:rsidRDefault="00000000">
      <w:pPr>
        <w:pStyle w:val="Teksttreci0"/>
        <w:numPr>
          <w:ilvl w:val="0"/>
          <w:numId w:val="1"/>
        </w:numPr>
        <w:tabs>
          <w:tab w:val="left" w:pos="1056"/>
        </w:tabs>
        <w:ind w:firstLine="740"/>
        <w:jc w:val="both"/>
      </w:pPr>
      <w:r>
        <w:rPr>
          <w:rStyle w:val="Teksttreci"/>
        </w:rPr>
        <w:t>ze zwrotem podatku akcyzowego zawartego w cenie oleju napędowego wykorzystywanego do produkcji rolnej;</w:t>
      </w:r>
    </w:p>
    <w:p w14:paraId="7E9334E6" w14:textId="77777777" w:rsidR="00D30836" w:rsidRDefault="00000000">
      <w:pPr>
        <w:pStyle w:val="Teksttreci0"/>
        <w:numPr>
          <w:ilvl w:val="0"/>
          <w:numId w:val="1"/>
        </w:numPr>
        <w:tabs>
          <w:tab w:val="left" w:pos="1079"/>
        </w:tabs>
        <w:ind w:firstLine="740"/>
        <w:jc w:val="both"/>
      </w:pPr>
      <w:r>
        <w:rPr>
          <w:rStyle w:val="Teksttreci"/>
        </w:rPr>
        <w:t>z określeniem i ustalaniem wysokości zobowiązania podatkowego w podatku od nieruchomości, rolnym oraz leśnym i łącznym zobowiązaniu pieniężnym;</w:t>
      </w:r>
    </w:p>
    <w:p w14:paraId="7061674B" w14:textId="77777777" w:rsidR="00D30836" w:rsidRDefault="00000000">
      <w:pPr>
        <w:pStyle w:val="Teksttreci0"/>
        <w:numPr>
          <w:ilvl w:val="0"/>
          <w:numId w:val="1"/>
        </w:numPr>
        <w:tabs>
          <w:tab w:val="left" w:pos="1079"/>
        </w:tabs>
        <w:ind w:firstLine="740"/>
        <w:jc w:val="both"/>
      </w:pPr>
      <w:r>
        <w:rPr>
          <w:rStyle w:val="Teksttreci"/>
        </w:rPr>
        <w:t>z określeniem wysokości zobowiązania podatkowego w podatku od środków transportowych;</w:t>
      </w:r>
    </w:p>
    <w:p w14:paraId="63C49F4E" w14:textId="77777777" w:rsidR="00D30836" w:rsidRDefault="00000000">
      <w:pPr>
        <w:pStyle w:val="Teksttreci0"/>
        <w:numPr>
          <w:ilvl w:val="0"/>
          <w:numId w:val="1"/>
        </w:numPr>
        <w:tabs>
          <w:tab w:val="left" w:pos="1084"/>
        </w:tabs>
        <w:ind w:firstLine="740"/>
        <w:jc w:val="both"/>
      </w:pPr>
      <w:r>
        <w:rPr>
          <w:rStyle w:val="Teksttreci"/>
        </w:rPr>
        <w:t>z umorzeniem, rozłożeniem na raty i odroczeniem terminu płatności zobowiązań podatkowych;</w:t>
      </w:r>
    </w:p>
    <w:p w14:paraId="0920654E" w14:textId="77777777" w:rsidR="00D30836" w:rsidRDefault="00000000">
      <w:pPr>
        <w:pStyle w:val="Teksttreci0"/>
        <w:numPr>
          <w:ilvl w:val="0"/>
          <w:numId w:val="1"/>
        </w:numPr>
        <w:tabs>
          <w:tab w:val="left" w:pos="1084"/>
        </w:tabs>
        <w:ind w:firstLine="740"/>
        <w:jc w:val="both"/>
      </w:pPr>
      <w:r>
        <w:rPr>
          <w:rStyle w:val="Teksttreci"/>
        </w:rPr>
        <w:t>w zakresie upomnień z tytułu podatku od nieruchomości, podatku rolnego i podatku leśnego, opłaty za gospodarowanie odpadami komunalnymi oraz opłaty za zajęcie pasa drogowego.</w:t>
      </w:r>
    </w:p>
    <w:p w14:paraId="3ADB1F61" w14:textId="77777777" w:rsidR="00D30836" w:rsidRDefault="00000000">
      <w:pPr>
        <w:pStyle w:val="Teksttreci0"/>
        <w:numPr>
          <w:ilvl w:val="0"/>
          <w:numId w:val="1"/>
        </w:numPr>
        <w:tabs>
          <w:tab w:val="left" w:pos="1084"/>
        </w:tabs>
        <w:spacing w:after="80"/>
        <w:ind w:firstLine="740"/>
        <w:jc w:val="both"/>
      </w:pPr>
      <w:r>
        <w:rPr>
          <w:rStyle w:val="Teksttreci"/>
        </w:rPr>
        <w:t>w zakresie wezwania do zapłaty z tytułu opłaty za wieczyste użytkowanie gruntów, przekształcenie użytkowania wieczystego gruntów oraz dla należności pieniężnych</w:t>
      </w:r>
    </w:p>
    <w:p w14:paraId="034F8F01" w14:textId="77777777" w:rsidR="00D30836" w:rsidRDefault="00000000">
      <w:pPr>
        <w:pStyle w:val="Teksttreci0"/>
        <w:ind w:firstLine="0"/>
        <w:jc w:val="both"/>
      </w:pPr>
      <w:r>
        <w:rPr>
          <w:rStyle w:val="Teksttreci"/>
        </w:rPr>
        <w:t>wynikających z zawartych umów najmu lokali oraz gruntów należących do majątku Gminy i Miasta Węgliniec;</w:t>
      </w:r>
    </w:p>
    <w:p w14:paraId="1E2DC6C6" w14:textId="77777777" w:rsidR="00D30836" w:rsidRDefault="00000000">
      <w:pPr>
        <w:pStyle w:val="Teksttreci0"/>
        <w:numPr>
          <w:ilvl w:val="0"/>
          <w:numId w:val="1"/>
        </w:numPr>
        <w:tabs>
          <w:tab w:val="left" w:pos="1083"/>
        </w:tabs>
        <w:ind w:firstLine="740"/>
        <w:jc w:val="both"/>
      </w:pPr>
      <w:r>
        <w:rPr>
          <w:rStyle w:val="Teksttreci"/>
        </w:rPr>
        <w:t>w zakresie zawiadomień w sprawie wymiaru opłaty za gospodarowanie odpadami komunalnymi;</w:t>
      </w:r>
    </w:p>
    <w:p w14:paraId="5D2F5041" w14:textId="77777777" w:rsidR="00D30836" w:rsidRDefault="00000000">
      <w:pPr>
        <w:pStyle w:val="Teksttreci0"/>
        <w:numPr>
          <w:ilvl w:val="0"/>
          <w:numId w:val="1"/>
        </w:numPr>
        <w:tabs>
          <w:tab w:val="left" w:pos="1796"/>
        </w:tabs>
        <w:ind w:firstLine="740"/>
        <w:jc w:val="both"/>
      </w:pPr>
      <w:r>
        <w:rPr>
          <w:rStyle w:val="Teksttreci"/>
        </w:rPr>
        <w:lastRenderedPageBreak/>
        <w:t>w zakresie informacji PIT.</w:t>
      </w:r>
    </w:p>
    <w:p w14:paraId="7B26B28A" w14:textId="77777777" w:rsidR="00D30836" w:rsidRDefault="00000000">
      <w:pPr>
        <w:pStyle w:val="Nagwek20"/>
        <w:keepNext/>
        <w:keepLines/>
        <w:spacing w:after="260"/>
      </w:pPr>
      <w:bookmarkStart w:id="1" w:name="bookmark4"/>
      <w:r>
        <w:rPr>
          <w:rStyle w:val="Nagwek2"/>
          <w:b/>
          <w:bCs/>
        </w:rPr>
        <w:t>§2</w:t>
      </w:r>
      <w:bookmarkEnd w:id="1"/>
    </w:p>
    <w:p w14:paraId="169C4BAD" w14:textId="77777777" w:rsidR="00D30836" w:rsidRDefault="00000000">
      <w:pPr>
        <w:pStyle w:val="Teksttreci0"/>
        <w:spacing w:after="720" w:line="394" w:lineRule="auto"/>
        <w:ind w:firstLine="740"/>
        <w:jc w:val="both"/>
      </w:pPr>
      <w:r>
        <w:rPr>
          <w:rStyle w:val="Teksttreci"/>
        </w:rPr>
        <w:t>Wyłączenia o których mowa w § 1 stosuje się odpowiednio do wezwań, zawiadomień, postanowień, innych decyzji niż określone w § 1, których podstawą prawa są przepisy Ordynacja podatkowa, Kodeks Postępowania Administracyjnego, Kodeks Cywilny.</w:t>
      </w:r>
    </w:p>
    <w:p w14:paraId="050FE2ED" w14:textId="77777777" w:rsidR="00D30836" w:rsidRDefault="00000000">
      <w:pPr>
        <w:pStyle w:val="Nagwek20"/>
        <w:keepNext/>
        <w:keepLines/>
      </w:pPr>
      <w:bookmarkStart w:id="2" w:name="bookmark6"/>
      <w:r>
        <w:rPr>
          <w:rStyle w:val="Nagwek2"/>
          <w:b/>
          <w:bCs/>
        </w:rPr>
        <w:t>§3</w:t>
      </w:r>
      <w:bookmarkEnd w:id="2"/>
    </w:p>
    <w:p w14:paraId="4D813E9E" w14:textId="77777777" w:rsidR="00D30836" w:rsidRDefault="00000000">
      <w:pPr>
        <w:pStyle w:val="Teksttreci0"/>
        <w:spacing w:after="260"/>
        <w:ind w:firstLine="740"/>
        <w:jc w:val="both"/>
      </w:pPr>
      <w:r>
        <w:rPr>
          <w:rStyle w:val="Teksttreci"/>
        </w:rPr>
        <w:t>Wykonanie zarządzenia powierzam Sekretarzowi Gminy i Miasta Węgliniec i Skarbnikowi Gminy i Miasta Węgliniec</w:t>
      </w:r>
    </w:p>
    <w:p w14:paraId="724C06CA" w14:textId="77777777" w:rsidR="00D30836" w:rsidRDefault="00000000">
      <w:pPr>
        <w:pStyle w:val="Nagwek20"/>
        <w:keepNext/>
        <w:keepLines/>
      </w:pPr>
      <w:bookmarkStart w:id="3" w:name="bookmark8"/>
      <w:r>
        <w:rPr>
          <w:rStyle w:val="Nagwek2"/>
          <w:b/>
          <w:bCs/>
        </w:rPr>
        <w:t>§4.</w:t>
      </w:r>
      <w:bookmarkEnd w:id="3"/>
    </w:p>
    <w:p w14:paraId="69AD79F4" w14:textId="77777777" w:rsidR="00D30836" w:rsidRDefault="00000000">
      <w:pPr>
        <w:pStyle w:val="Teksttreci0"/>
        <w:spacing w:after="940"/>
        <w:ind w:firstLine="680"/>
        <w:jc w:val="both"/>
      </w:pPr>
      <w:r>
        <w:rPr>
          <w:rStyle w:val="Teksttreci"/>
        </w:rPr>
        <w:t>Zarządzenie wchodzi w życie z dniem 15 stycznia 2025 r.</w:t>
      </w:r>
    </w:p>
    <w:p w14:paraId="3F2C682C" w14:textId="6771A53D" w:rsidR="00D30836" w:rsidRDefault="00000000">
      <w:pPr>
        <w:pStyle w:val="Teksttreci20"/>
        <w:tabs>
          <w:tab w:val="left" w:pos="5482"/>
        </w:tabs>
        <w:spacing w:after="0"/>
      </w:pPr>
      <w:r>
        <w:rPr>
          <w:rStyle w:val="Teksttreci2"/>
          <w:color w:val="9F9DBF"/>
        </w:rPr>
        <w:tab/>
      </w:r>
      <w:r>
        <w:rPr>
          <w:rStyle w:val="Teksttreci2"/>
        </w:rPr>
        <w:t>,</w:t>
      </w:r>
    </w:p>
    <w:p w14:paraId="25A5345B" w14:textId="73A04B32" w:rsidR="00D30836" w:rsidRDefault="00D30836" w:rsidP="00AF3469">
      <w:pPr>
        <w:pStyle w:val="Teksttreci20"/>
        <w:spacing w:after="180"/>
        <w:jc w:val="left"/>
      </w:pPr>
    </w:p>
    <w:sectPr w:rsidR="00D30836">
      <w:pgSz w:w="11900" w:h="16840"/>
      <w:pgMar w:top="618" w:right="1493" w:bottom="1952" w:left="1195" w:header="190" w:footer="152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27F75" w14:textId="77777777" w:rsidR="00A45C2B" w:rsidRDefault="00A45C2B">
      <w:r>
        <w:separator/>
      </w:r>
    </w:p>
  </w:endnote>
  <w:endnote w:type="continuationSeparator" w:id="0">
    <w:p w14:paraId="252A339B" w14:textId="77777777" w:rsidR="00A45C2B" w:rsidRDefault="00A45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E6A91" w14:textId="77777777" w:rsidR="00A45C2B" w:rsidRDefault="00A45C2B"/>
  </w:footnote>
  <w:footnote w:type="continuationSeparator" w:id="0">
    <w:p w14:paraId="062649DD" w14:textId="77777777" w:rsidR="00A45C2B" w:rsidRDefault="00A45C2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26C4F"/>
    <w:multiLevelType w:val="multilevel"/>
    <w:tmpl w:val="A99C5D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7535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836"/>
    <w:rsid w:val="00A45C2B"/>
    <w:rsid w:val="00AF3469"/>
    <w:rsid w:val="00D30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137B0"/>
  <w15:docId w15:val="{696F8D66-85B8-47DF-8B65-4EB578C8E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B9FB2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9FB2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FB9FB2"/>
      <w:sz w:val="19"/>
      <w:szCs w:val="19"/>
      <w:u w:val="none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b/>
      <w:bCs/>
      <w:color w:val="FB9FB2"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80" w:line="199" w:lineRule="auto"/>
      <w:ind w:firstLine="280"/>
    </w:pPr>
    <w:rPr>
      <w:rFonts w:ascii="Times New Roman" w:eastAsia="Times New Roman" w:hAnsi="Times New Roman" w:cs="Times New Roman"/>
      <w:color w:val="FB9FB2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391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100" w:line="391" w:lineRule="auto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90"/>
      <w:jc w:val="center"/>
    </w:pPr>
    <w:rPr>
      <w:rFonts w:ascii="Franklin Gothic Book" w:eastAsia="Franklin Gothic Book" w:hAnsi="Franklin Gothic Book" w:cs="Franklin Gothic Book"/>
      <w:color w:val="FB9FB2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2025-01-30T11:54:00Z</dcterms:created>
  <dcterms:modified xsi:type="dcterms:W3CDTF">2025-01-30T11:54:00Z</dcterms:modified>
</cp:coreProperties>
</file>