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55B87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228/XIV/2025 </w:t>
      </w:r>
    </w:p>
    <w:p w:rsidR="00C55B87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55B8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55B87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gminnym (Dz. U. z 2024 r., poz. 1465 ze zm.) w związku z art. 37 ust. 4 ustawy z dnia 21 sierpnia 1997 r. o gospodarce nieruchomościami (Dz. U. z 2024 r., poz. 1145 ze zm.) Rada Miejska Węglińca uchwala, co następuje: </w:t>
      </w:r>
    </w:p>
    <w:p w:rsidR="00C55B8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o łącznej powierzchni 8,80m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(I-3,90m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II-4,90m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na czas nieoznaczony, położonej w Węglińcu przy ul. Karola Wojtyły na części działki o numerze ewidencyjnym 44/10 z </w:t>
      </w:r>
      <w:r w:rsidRPr="00C44F5C">
        <w:rPr>
          <w:rFonts w:ascii="Times New Roman" w:eastAsia="Times New Roman" w:hAnsi="Times New Roman" w:cs="Times New Roman"/>
          <w:highlight w:val="black"/>
        </w:rPr>
        <w:t xml:space="preserve">Panią Aleksandrą </w:t>
      </w:r>
      <w:proofErr w:type="spellStart"/>
      <w:r w:rsidRPr="00C44F5C">
        <w:rPr>
          <w:rFonts w:ascii="Times New Roman" w:eastAsia="Times New Roman" w:hAnsi="Times New Roman" w:cs="Times New Roman"/>
          <w:highlight w:val="black"/>
        </w:rPr>
        <w:t>Hanasińską</w:t>
      </w:r>
      <w:proofErr w:type="spellEnd"/>
      <w:r w:rsidRPr="00C44F5C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55B8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55B87" w:rsidRDefault="00000000" w:rsidP="00C44F5C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55B87" w:rsidRDefault="00000000" w:rsidP="00C44F5C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:rsidR="00C55B87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55B87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55B8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55B8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746C140A-45F8-4FB2-8853-ECD12E89480B.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55B87" w:rsidSect="00C44F5C">
      <w:pgSz w:w="11906" w:h="16838"/>
      <w:pgMar w:top="851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B87"/>
    <w:rsid w:val="00C44F5C"/>
    <w:rsid w:val="00C55B87"/>
    <w:rsid w:val="00E8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3F3F"/>
  <w15:docId w15:val="{0A82185C-ED5A-4922-BFBF-93BBC80D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228/XIV/2025 Rady Miejskiej Węglińca z dnia 30 kwietnia 2025 r. w sprawie wyrażenia zgody na odstąpienie od obowiązku trybu przetargowego i zawarcie umowy najmu pomieszczeń gospodarczych</dc:title>
  <dc:subject>Uchwała Nr 228/XIV/2025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2025-05-03T19:36:00Z</dcterms:created>
  <dcterms:modified xsi:type="dcterms:W3CDTF">2025-05-03T19:36:00Z</dcterms:modified>
</cp:coreProperties>
</file>