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44AE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227/XIV/2025 </w:t>
      </w:r>
    </w:p>
    <w:p w:rsidR="00CC44AE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C44AE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C44AE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ustalenia stawek dotacji przedmiotowej</w:t>
      </w:r>
      <w:r>
        <w:rPr>
          <w:rFonts w:ascii="Times New Roman" w:eastAsia="Times New Roman" w:hAnsi="Times New Roman" w:cs="Times New Roman"/>
        </w:rPr>
        <w:t xml:space="preserve"> </w:t>
      </w:r>
    </w:p>
    <w:p w:rsidR="00CC44AE" w:rsidRDefault="00000000">
      <w:pPr>
        <w:spacing w:after="111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2024 r.,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219 ust. 1 i ust. 4 ustawy z dnia 27 sierpnia 2009 r. o finansach publicznych (Dz. U. z 2024 r., poz. 1530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uchwala, co następuje: </w:t>
      </w:r>
    </w:p>
    <w:p w:rsidR="00CC44AE" w:rsidRDefault="00000000">
      <w:pPr>
        <w:spacing w:after="111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Ustala się stawkę dotacji przedmiotowej dla zakładu budżetowego Zakładu Usług   Komunalnych w Węglińcu w wysokości: </w:t>
      </w:r>
    </w:p>
    <w:p w:rsidR="00CC44AE" w:rsidRDefault="00000000">
      <w:pPr>
        <w:spacing w:after="0" w:line="351" w:lineRule="auto"/>
        <w:ind w:left="370" w:right="2008" w:hanging="237"/>
      </w:pPr>
      <w:r>
        <w:rPr>
          <w:rFonts w:ascii="Times New Roman" w:eastAsia="Times New Roman" w:hAnsi="Times New Roman" w:cs="Times New Roman"/>
        </w:rPr>
        <w:t xml:space="preserve">1) </w:t>
      </w:r>
      <w:r>
        <w:rPr>
          <w:rFonts w:ascii="Times New Roman" w:eastAsia="Times New Roman" w:hAnsi="Times New Roman" w:cs="Times New Roman"/>
          <w:b/>
        </w:rPr>
        <w:t>25,06</w:t>
      </w:r>
      <w:r>
        <w:rPr>
          <w:rFonts w:ascii="Times New Roman" w:eastAsia="Times New Roman" w:hAnsi="Times New Roman" w:cs="Times New Roman"/>
        </w:rPr>
        <w:t xml:space="preserve"> zł na jeden m2 powierzchni użytkowej Hali Sportowej w Czerwonej Wodzie, </w:t>
      </w: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C44AE" w:rsidRDefault="00000000">
      <w:pPr>
        <w:spacing w:after="134" w:line="249" w:lineRule="auto"/>
        <w:ind w:left="36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 z mocą obowiązującą od dnia 1 maja 2025r. roku. </w:t>
      </w:r>
    </w:p>
    <w:p w:rsidR="00CC44AE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CC44AE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CC44AE" w:rsidRDefault="00CC44AE" w:rsidP="003F4512">
      <w:pPr>
        <w:spacing w:after="9"/>
        <w:ind w:left="20"/>
      </w:pPr>
    </w:p>
    <w:p w:rsidR="00CC44AE" w:rsidRDefault="00000000" w:rsidP="003F4512">
      <w:pPr>
        <w:spacing w:after="10" w:line="249" w:lineRule="auto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:rsidR="00CC44A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C44A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CC44AE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C44AE" w:rsidRDefault="00000000">
      <w:pPr>
        <w:spacing w:after="5683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Zgodnie z art. 219 ust. 1 i ust. 4 ustawy z dnia 27 sierpnia 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 </w:t>
      </w:r>
    </w:p>
    <w:p w:rsidR="00CC44A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C44A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622F1AF7-E058-42F8-A6AA-C09608B1E284.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C44AE" w:rsidSect="003F4512">
      <w:pgSz w:w="11906" w:h="16838"/>
      <w:pgMar w:top="851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4AE"/>
    <w:rsid w:val="00361130"/>
    <w:rsid w:val="003F4512"/>
    <w:rsid w:val="00CC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6FB35"/>
  <w15:docId w15:val="{CA63A036-A058-439A-9F74-86686B093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227/XIV/2025 Rady Miejskiej Węglińca z dnia 30 kwietnia 2025 r. w sprawie ustalenia stawek dotacji przedmiotowej</dc:title>
  <dc:subject>Uchwała Nr 227/XIV/2025 z dnia 30 kwietnia 2025 r. Rady Miejskiej Węglińca w sprawie ustalenia stawek dotacji przedmiotowej</dc:subject>
  <dc:creator>Rada Miejska Weglinca</dc:creator>
  <cp:keywords/>
  <cp:lastModifiedBy>Tatiana</cp:lastModifiedBy>
  <cp:revision>2</cp:revision>
  <dcterms:created xsi:type="dcterms:W3CDTF">2025-05-03T19:35:00Z</dcterms:created>
  <dcterms:modified xsi:type="dcterms:W3CDTF">2025-05-03T19:35:00Z</dcterms:modified>
</cp:coreProperties>
</file>