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E67EA" w:rsidRDefault="00000000">
      <w:pPr>
        <w:spacing w:after="0" w:line="265" w:lineRule="auto"/>
        <w:jc w:val="center"/>
      </w:pPr>
      <w:r>
        <w:rPr>
          <w:b/>
        </w:rPr>
        <w:t xml:space="preserve">UCHWAŁA NR 257/XV/2025 </w:t>
      </w:r>
    </w:p>
    <w:p w:rsidR="00DE67EA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:rsidR="00DE67EA" w:rsidRDefault="00000000">
      <w:pPr>
        <w:spacing w:after="261" w:line="259" w:lineRule="auto"/>
        <w:ind w:left="0" w:firstLine="0"/>
        <w:jc w:val="center"/>
      </w:pPr>
      <w:r>
        <w:t>z dnia 29 maja 2025 r.</w:t>
      </w:r>
      <w:r>
        <w:rPr>
          <w:b/>
        </w:rPr>
        <w:t xml:space="preserve"> </w:t>
      </w:r>
    </w:p>
    <w:p w:rsidR="00DE67EA" w:rsidRDefault="00000000">
      <w:pPr>
        <w:spacing w:after="452" w:line="265" w:lineRule="auto"/>
        <w:jc w:val="center"/>
      </w:pPr>
      <w:r>
        <w:rPr>
          <w:b/>
        </w:rPr>
        <w:t>w sprawie rozpatrzenia petycji z dnia 30 kwietnia 2025 roku</w:t>
      </w:r>
      <w:r>
        <w:t xml:space="preserve"> </w:t>
      </w:r>
    </w:p>
    <w:p w:rsidR="00DE67EA" w:rsidRDefault="00000000">
      <w:pPr>
        <w:ind w:left="5" w:right="5" w:firstLine="227"/>
      </w:pPr>
      <w:r>
        <w:t>Na podstawie art. 18 ust.2 pkt 15 ustawy z dnia 8 marca 1990 r. o samorządzie gminnym (</w:t>
      </w:r>
      <w:proofErr w:type="spellStart"/>
      <w:r>
        <w:t>t.j</w:t>
      </w:r>
      <w:proofErr w:type="spellEnd"/>
      <w:r>
        <w:t xml:space="preserve">. Dz. U. z 2024 r. poz. 1465 z </w:t>
      </w:r>
      <w:proofErr w:type="spellStart"/>
      <w:r>
        <w:t>późn</w:t>
      </w:r>
      <w:proofErr w:type="spellEnd"/>
      <w:r>
        <w:t>. zm.) oraz art. 9 ust. 2 ustawy z dnia 11 lipca 2014 roku o petycjach (</w:t>
      </w:r>
      <w:proofErr w:type="spellStart"/>
      <w:r>
        <w:t>t.j</w:t>
      </w:r>
      <w:proofErr w:type="spellEnd"/>
      <w:r>
        <w:t xml:space="preserve">. Dz. U. z 2018 r. poz. 870) uchwala się, co następuje: </w:t>
      </w:r>
    </w:p>
    <w:p w:rsidR="00DE67EA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Uwzględnia się petycje z dnia 30 kwietnia 2025 r. w zakresie dostosowania obowiązującego prawa miejscowego dotyczącego funkcjonowania na terenie Gminy Węgliniec pomników przyrody, do obowiązujących przepisów prawa, w zakresie nadzoru nad tymi pomnikami przyrody.  Uzasadnienie stanowi integralną część niniejszej uchwały. </w:t>
      </w:r>
    </w:p>
    <w:p w:rsidR="00DE67EA" w:rsidRDefault="00000000">
      <w:pPr>
        <w:ind w:left="5" w:right="5" w:firstLine="340"/>
      </w:pPr>
      <w:r>
        <w:rPr>
          <w:b/>
        </w:rPr>
        <w:t xml:space="preserve">§ 2. </w:t>
      </w:r>
      <w:r>
        <w:t xml:space="preserve">Zobowiązuje się Przewodniczącego Rady Miejskiej Węglińca do zawiadomienia wnoszącego petycję o sposobie jej rozpatrzenia. </w:t>
      </w:r>
    </w:p>
    <w:p w:rsidR="00DE67EA" w:rsidRDefault="00000000">
      <w:pPr>
        <w:spacing w:after="98" w:line="259" w:lineRule="auto"/>
        <w:ind w:left="355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:rsidR="00DE67EA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DE67EA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DE67EA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:rsidR="00DE67EA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DE67EA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DE67EA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DE67EA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DE67EA" w:rsidRDefault="00000000">
      <w:pPr>
        <w:spacing w:after="371"/>
        <w:ind w:left="15" w:right="5"/>
      </w:pPr>
      <w:r>
        <w:t>Ustawa z dnia 11 lipca 2014 r. o petycjach (Dz. U. z 2018 r. poz. 870) określa zasady składania i rozpatrywania petycji oraz sposób postępowania organów w sprawach dotyczących petycji. Przedmiotem petycji może być żądanie, w szczególności, zmiany przepisów prawa, podjęcia rozstrzygnięcia lub innego działania w sprawie dotyczącej przedmiotu wnoszącego petycję, życia zbiorowego, lub wartości wymagających szczególnej ochrony w imię dobra wspólnego, mieszczących się w zakresie zadań i kompetencji adresata petycji. Petycja może być złożona w interesie: publicznym podmiotu wnoszącego petycję lub podmiotu trzeciego, za jego zgodą.   Ustawa w art. 9 ust. 2 stanowi, że petycja złożona do organu stanowiącego jednostki samorządu terytorialnego jest rozpatrywana przez ten organ. Jednocześnie ustawodawca w art. 18b ust. 1 ustawy z dnia 8 marca 1990 r. o samorządzie gminnym (</w:t>
      </w:r>
      <w:proofErr w:type="spellStart"/>
      <w:r>
        <w:t>t.j</w:t>
      </w:r>
      <w:proofErr w:type="spellEnd"/>
      <w:r>
        <w:t xml:space="preserve">. Dz. U. z 2024 r. poz. 1465; zm.: Dz. U. z 2024 r. poz. 1572, poz. 1907 i poz. 1940) zdecydował, że organem wewnętrznym Rady uprawnionym do rozpatrzenia petycji i przygotowania propozycji stanowiska w sprawie jest Komisja Skarg, Wniosków i Petycji Rady Miejskiej.    W dniu 30 kwietnia 2025 roku za pomocą środków komunikacji elektronicznej do biura Rady Miejskiej Węglińca wpłynęła petycja dotycząca w części pierwszej zmiany - aktualizacji prawa miejscowego w zakresie funkcjonowania 6 pomników przyrody tj. utworzenie uchwały lub uchwał Rady Miejskiej w sprawie pomników przyrody znajdujących się na terenie gminy Węgliniec w celu dostosowania prawa miejscowego do aktualnych przepisów wynikających z ustawy o ochronie przyrody i wyeliminowania niejasności w zakresie sprawującego nadzór, w części drugiej dotyczącej wydania stosownego polecenia lub przyjęcia uchwały zobowiązującej organ wykonawczy do cyklicznego przedstawiania Radzie Miejskiej – nie rzadziej niż raz na rok lub raz na dwa lata raportu dotyczącego aktualnego stanu pomników przyrody, obejmującego ocenę ich zdrowotności, kompletności oznakowania, stanu otoczenia oraz potrzeb w zakresie niezbędnych prac pielęgnacyjnych.   Petycja została przekazana Komisji Skarg, Wniosków i Petycji celem zajęcia stanowiska i przygotowania projektu uchwały rozstrzygającej zasadność petycji. Przewodniczący Komisji Skarg, Wniosków i Petycji zwrócił się do Burmistrza Gminy i Miasta Węgliniec z prośbą o przygotowanie i przedstawienie informacji w w/w sprawie.    Komisja odbyła posiedzenie w dniu 20 maja 2025 roku w następstwie czego wypracowała ostateczne stanowisko i poczyniła następujące ustalenia.   W części </w:t>
      </w:r>
    </w:p>
    <w:p w:rsidR="00DE67EA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DE67EA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27EC1F12-50E4-41AE-999E-0CD4BB1B4835. Podpisany</w:t>
      </w:r>
      <w:r>
        <w:rPr>
          <w:sz w:val="18"/>
        </w:rPr>
        <w:tab/>
        <w:t>Strona 1</w:t>
      </w:r>
    </w:p>
    <w:p w:rsidR="00DE67EA" w:rsidRDefault="00000000">
      <w:pPr>
        <w:spacing w:after="11479"/>
        <w:ind w:left="15" w:right="5"/>
      </w:pPr>
      <w:r>
        <w:t xml:space="preserve">pierwszej dotyczącej zmiany - aktualizacji prawa miejscowego uznała, iż petycję należy uwzględnić. Uznano, że na terenie Gminy znajdują się pomniki przyrody utworzone na podstawie wcześniejszych przepisów i przez organy, które nie posiadają już kompetencji w tym zakresie.  W części drugiej dotyczącej wydania stosownego polecenia lub przyjęcia uchwały zobowiązującej organ wykonawczy do cyklicznego przedstawiania Radzie Miejskiej – nie rzadziej niż raz na rok lub raz na dwa lata raportu dotyczącego aktualnego stanu pomników przyrody, obejmującego ocenę ich zdrowotności, kompletności oznakowania, stanu otoczenia oraz potrzeb w zakresie niezbędnych prac pielęgnacyjnych postanowiła w tej części petycji nie uwzględnić. Brak jest przepisów prawa zobowiązujących do sporządzania i przedstawiania raportów dotyczących stanu pomników przyrody. Natomiast obowiązki wynikające z konieczności podejmowania działań względem pomników przyrody wynikają z czynności nadzorczych, które zostaną dostosowane zgodnie z postulatem petycji.  Po zapoznaniu się z powyższymi ustaleniami, Rada Miejska w Węglińcu podziela stanowisko Komisji Skarg, Wniosków i Petycji dotyczące sposobu rozpatrzenia przedmiotowej petycji i wyeliminowania niejasności w zakresie sprawującego nad nimi nadzór. </w:t>
      </w:r>
    </w:p>
    <w:p w:rsidR="00DE67EA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DE67EA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27EC1F12-50E4-41AE-999E-0CD4BB1B4835. Podpisany</w:t>
      </w:r>
      <w:r>
        <w:rPr>
          <w:sz w:val="18"/>
        </w:rPr>
        <w:tab/>
        <w:t>Strona 2</w:t>
      </w:r>
    </w:p>
    <w:sectPr w:rsidR="00DE67EA">
      <w:pgSz w:w="11906" w:h="16838"/>
      <w:pgMar w:top="1470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7EA"/>
    <w:rsid w:val="0088199C"/>
    <w:rsid w:val="00B54F0C"/>
    <w:rsid w:val="00DE6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A1B161-E083-4A3B-B1AE-266242E8C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3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724</Words>
  <Characters>4349</Characters>
  <Application>Microsoft Office Word</Application>
  <DocSecurity>0</DocSecurity>
  <Lines>36</Lines>
  <Paragraphs>10</Paragraphs>
  <ScaleCrop>false</ScaleCrop>
  <Company/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257/XV/2025 Rady Miejskiej Węglińca z dnia 29 maja 2025 r. w sprawie rozpatrzenia petycji z dnia 30 kwietnia 2025 roku</dc:title>
  <dc:subject>Uchwała Nr 257/XV/2025 z dnia 29 maja 2025 r. Rady Miejskiej Węglińca w sprawie rozpatrzenia petycji z dnia 30 kwietnia 2025 roku</dc:subject>
  <dc:creator>Rada Miejska Weglinca</dc:creator>
  <cp:keywords/>
  <cp:lastModifiedBy>Tatiana</cp:lastModifiedBy>
  <cp:revision>2</cp:revision>
  <dcterms:created xsi:type="dcterms:W3CDTF">2025-06-04T11:52:00Z</dcterms:created>
  <dcterms:modified xsi:type="dcterms:W3CDTF">2025-06-04T11:52:00Z</dcterms:modified>
</cp:coreProperties>
</file>