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62D0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267/XVI/2025 </w:t>
      </w:r>
    </w:p>
    <w:p w:rsidR="00C62D0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62D0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62D0E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określenia stawek dotacji przedmiotowych dla Zakładu Usług Komunalnych w Węglińcu na realizację zadań bieżących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108" w:line="249" w:lineRule="auto"/>
        <w:ind w:left="20" w:right="5" w:firstLine="227"/>
        <w:jc w:val="both"/>
      </w:pPr>
      <w:r>
        <w:rPr>
          <w:rFonts w:ascii="Times New Roman" w:eastAsia="Times New Roman" w:hAnsi="Times New Roman" w:cs="Times New Roman"/>
        </w:rPr>
        <w:t>Na podstawie art. 18 ust. 2 pkt 15 ustawy z dnia 8 marca 1990 r. o samorządzie gminnym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 xml:space="preserve">. Dz. U. z 2024 r.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zm.). oraz z art. 219 ust. 1 i ust. 4 ustawy z dnia 27 sierpnia 2009 r. o finansach publicznych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 xml:space="preserve">. Dz. U. z 2024 r. poz. 1530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zm.). oraz art. 24 ust. 6 ustawy z dnia 7 czerwca 2001 r. o zbiorowym zaopatrzeniu w wodę i zbiorowym odprowadzaniu ścieków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 xml:space="preserve">. Dz. U. z 2024 r. poz. 757). Rada Miejska Węglińca uchwala, co następuje: </w:t>
      </w:r>
    </w:p>
    <w:p w:rsidR="00C62D0E" w:rsidRDefault="00000000">
      <w:pPr>
        <w:spacing w:after="108" w:line="249" w:lineRule="auto"/>
        <w:ind w:left="20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Ustala się stawki jednostki dotacji przedmiotowych do cen za świadczenie usługi w zakresie dostawy wody i odprowadzania ścieków na terenie Gminy i Miasta Węgliniec dla Zakładu Usług Komunalnych w Węglińcu w następującej wysokości: </w:t>
      </w:r>
    </w:p>
    <w:p w:rsidR="00C62D0E" w:rsidRDefault="00000000">
      <w:pPr>
        <w:numPr>
          <w:ilvl w:val="0"/>
          <w:numId w:val="1"/>
        </w:numPr>
        <w:spacing w:after="108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>dopłata do ceny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wody dla grupy taryfowej G1Wi (odbiorcy indywidualni teren Węglińca, Czerwonej Wody, Starego Węglińca, Jagodzina, Piasecznej, Zielonki) w wysokości </w:t>
      </w:r>
      <w:r>
        <w:rPr>
          <w:rFonts w:ascii="Times New Roman" w:eastAsia="Times New Roman" w:hAnsi="Times New Roman" w:cs="Times New Roman"/>
          <w:b/>
        </w:rPr>
        <w:t>0,25 zł</w:t>
      </w:r>
      <w:r>
        <w:rPr>
          <w:rFonts w:ascii="Times New Roman" w:eastAsia="Times New Roman" w:hAnsi="Times New Roman" w:cs="Times New Roman"/>
        </w:rPr>
        <w:t xml:space="preserve">, </w:t>
      </w:r>
    </w:p>
    <w:p w:rsidR="00C62D0E" w:rsidRDefault="00000000">
      <w:pPr>
        <w:numPr>
          <w:ilvl w:val="0"/>
          <w:numId w:val="1"/>
        </w:numPr>
        <w:spacing w:after="108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>dopłata do ceny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wody dla grupy taryfowej G2Wi (odbiorcy indywidualni teren Ruszowa i Kościelnej Wsi) w wysokości </w:t>
      </w:r>
      <w:r>
        <w:rPr>
          <w:rFonts w:ascii="Times New Roman" w:eastAsia="Times New Roman" w:hAnsi="Times New Roman" w:cs="Times New Roman"/>
          <w:b/>
        </w:rPr>
        <w:t>2,29 zł</w:t>
      </w:r>
      <w:r>
        <w:rPr>
          <w:rFonts w:ascii="Times New Roman" w:eastAsia="Times New Roman" w:hAnsi="Times New Roman" w:cs="Times New Roman"/>
        </w:rPr>
        <w:t xml:space="preserve">, </w:t>
      </w:r>
    </w:p>
    <w:p w:rsidR="00C62D0E" w:rsidRDefault="00000000">
      <w:pPr>
        <w:numPr>
          <w:ilvl w:val="0"/>
          <w:numId w:val="1"/>
        </w:numPr>
        <w:spacing w:after="108" w:line="249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>dopłata do ceny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ścieków dla grupy taryfowej G1S (teren Węglińca) w wysokości </w:t>
      </w:r>
      <w:r>
        <w:rPr>
          <w:rFonts w:ascii="Times New Roman" w:eastAsia="Times New Roman" w:hAnsi="Times New Roman" w:cs="Times New Roman"/>
          <w:b/>
        </w:rPr>
        <w:t>2,56 zł</w:t>
      </w:r>
      <w:r>
        <w:rPr>
          <w:rFonts w:ascii="Times New Roman" w:eastAsia="Times New Roman" w:hAnsi="Times New Roman" w:cs="Times New Roman"/>
        </w:rPr>
        <w:t xml:space="preserve">, </w:t>
      </w:r>
    </w:p>
    <w:p w:rsidR="00C62D0E" w:rsidRDefault="00000000">
      <w:pPr>
        <w:numPr>
          <w:ilvl w:val="0"/>
          <w:numId w:val="1"/>
        </w:numPr>
        <w:spacing w:after="0" w:line="363" w:lineRule="auto"/>
        <w:ind w:right="5" w:hanging="238"/>
        <w:jc w:val="both"/>
      </w:pPr>
      <w:r>
        <w:rPr>
          <w:rFonts w:ascii="Times New Roman" w:eastAsia="Times New Roman" w:hAnsi="Times New Roman" w:cs="Times New Roman"/>
        </w:rPr>
        <w:t>dopłata do ceny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ścieków dla grupy taryfowej G2S (teren Zielonki) w wysokości </w:t>
      </w:r>
      <w:r>
        <w:rPr>
          <w:rFonts w:ascii="Times New Roman" w:eastAsia="Times New Roman" w:hAnsi="Times New Roman" w:cs="Times New Roman"/>
          <w:b/>
        </w:rPr>
        <w:t>0,00 zł</w:t>
      </w:r>
      <w:r>
        <w:rPr>
          <w:rFonts w:ascii="Times New Roman" w:eastAsia="Times New Roman" w:hAnsi="Times New Roman" w:cs="Times New Roman"/>
        </w:rPr>
        <w:t>, 5) dopłata do ceny 1m</w:t>
      </w:r>
      <w:r>
        <w:rPr>
          <w:rFonts w:ascii="Times New Roman" w:eastAsia="Times New Roman" w:hAnsi="Times New Roman" w:cs="Times New Roman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</w:rPr>
        <w:t xml:space="preserve">ścieków dla grupy taryfowej G3S (teren Ruszowa) w wysokości </w:t>
      </w:r>
      <w:r>
        <w:rPr>
          <w:rFonts w:ascii="Times New Roman" w:eastAsia="Times New Roman" w:hAnsi="Times New Roman" w:cs="Times New Roman"/>
          <w:b/>
        </w:rPr>
        <w:t>7,77 zł</w:t>
      </w:r>
      <w:r>
        <w:rPr>
          <w:rFonts w:ascii="Times New Roman" w:eastAsia="Times New Roman" w:hAnsi="Times New Roman" w:cs="Times New Roman"/>
        </w:rPr>
        <w:t xml:space="preserve">. </w:t>
      </w:r>
    </w:p>
    <w:p w:rsidR="00C62D0E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2. Dopłaty udziela się od dnia 22 czerwca 2025 roku do dnia 31 grudnia 2025 roku. </w:t>
      </w:r>
    </w:p>
    <w:p w:rsidR="00C62D0E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62D0E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 od dnia 22 czerwca 2025 roku. </w:t>
      </w:r>
    </w:p>
    <w:p w:rsidR="00C62D0E" w:rsidRDefault="00000000">
      <w:pPr>
        <w:spacing w:after="108" w:line="249" w:lineRule="auto"/>
        <w:ind w:left="20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Traci moc uchwała nr 127/IX/24 Rady Miejskiej Węglińca z dnia 29 listopada 2024 roku w sprawie określenia stawek dotacji przedmiotowych dla Zakładu Usług Komunalnych w Węglińcu na realizację zadań bieżących. </w:t>
      </w:r>
    </w:p>
    <w:p w:rsidR="00C62D0E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62D0E" w:rsidRDefault="00000000">
      <w:pPr>
        <w:spacing w:after="0" w:line="265" w:lineRule="auto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62D0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spacing w:after="5" w:line="238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Zgodnie z art. 219 ust. 1 i ust. 4 ustawy z dnia 27.08.2009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</w:t>
      </w:r>
    </w:p>
    <w:p w:rsidR="00C62D0E" w:rsidRDefault="00000000">
      <w:pPr>
        <w:spacing w:after="5" w:line="238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W oparciu o art. 24 ust. 6 ustawy z dnia 7 czerwca 2001 r. o zbiorowym zaopatrzeniu w wodę i zbiorowym odprowadzaniu ścieków Rada Miejska Węglińca może podjąć uchwałę o dopłacie dla jednej wybranej lub wszystkich grup taryfowych odbiorców. </w:t>
      </w:r>
    </w:p>
    <w:p w:rsidR="00C62D0E" w:rsidRDefault="00000000">
      <w:pPr>
        <w:tabs>
          <w:tab w:val="center" w:pos="3789"/>
        </w:tabs>
        <w:spacing w:after="137" w:line="265" w:lineRule="auto"/>
      </w:pPr>
      <w:r>
        <w:rPr>
          <w:rFonts w:ascii="Times New Roman" w:eastAsia="Times New Roman" w:hAnsi="Times New Roman" w:cs="Times New Roman"/>
        </w:rPr>
        <w:t xml:space="preserve">Powyższe </w:t>
      </w:r>
      <w:r>
        <w:rPr>
          <w:rFonts w:ascii="Times New Roman" w:eastAsia="Times New Roman" w:hAnsi="Times New Roman" w:cs="Times New Roman"/>
        </w:rPr>
        <w:tab/>
        <w:t xml:space="preserve"> kwoty pozwalają pokryć koszty obowiązywania aktualnej taryfy. </w:t>
      </w:r>
    </w:p>
    <w:p w:rsidR="00C62D0E" w:rsidRDefault="00000000">
      <w:pPr>
        <w:spacing w:after="395" w:line="265" w:lineRule="auto"/>
        <w:ind w:left="257" w:hanging="10"/>
      </w:pPr>
      <w:r>
        <w:rPr>
          <w:rFonts w:ascii="Times New Roman" w:eastAsia="Times New Roman" w:hAnsi="Times New Roman" w:cs="Times New Roman"/>
        </w:rPr>
        <w:t xml:space="preserve">W tym okresie obowiązują następujące ceny dopłaty: </w:t>
      </w:r>
    </w:p>
    <w:p w:rsidR="00C62D0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2D0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AC8D5ABA-122E-4A33-AAD8-90EBF17D3AC5.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tbl>
      <w:tblPr>
        <w:tblStyle w:val="TableGrid"/>
        <w:tblW w:w="10082" w:type="dxa"/>
        <w:tblInd w:w="-88" w:type="dxa"/>
        <w:tblCellMar>
          <w:top w:w="55" w:type="dxa"/>
          <w:left w:w="108" w:type="dxa"/>
          <w:bottom w:w="0" w:type="dxa"/>
          <w:right w:w="60" w:type="dxa"/>
        </w:tblCellMar>
        <w:tblLook w:val="04A0" w:firstRow="1" w:lastRow="0" w:firstColumn="1" w:lastColumn="0" w:noHBand="0" w:noVBand="1"/>
      </w:tblPr>
      <w:tblGrid>
        <w:gridCol w:w="535"/>
        <w:gridCol w:w="2062"/>
        <w:gridCol w:w="1978"/>
        <w:gridCol w:w="1764"/>
        <w:gridCol w:w="1800"/>
        <w:gridCol w:w="1943"/>
      </w:tblGrid>
      <w:tr w:rsidR="00C62D0E">
        <w:trPr>
          <w:trHeight w:val="511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Lp.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Taryfowa grupa odbiorców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Ceny według taryfy netto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Dopłata netto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Cena dla odbiorców netto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Cena dla odbiorców brutto </w:t>
            </w:r>
          </w:p>
        </w:tc>
      </w:tr>
      <w:tr w:rsidR="00C62D0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G1Wi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7,07zł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0,25zł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6,82zł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7,37zł </w:t>
            </w:r>
          </w:p>
        </w:tc>
      </w:tr>
      <w:tr w:rsidR="00C62D0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G2Wi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9,11zł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2,29zł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6,82zł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7,37zł </w:t>
            </w:r>
          </w:p>
        </w:tc>
      </w:tr>
      <w:tr w:rsidR="00C62D0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G1S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13,74zł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2,56zł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11,18zł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12,07zł </w:t>
            </w:r>
          </w:p>
        </w:tc>
      </w:tr>
      <w:tr w:rsidR="00C62D0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G2S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6,05zł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0,00zł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6,05zł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6,53zł </w:t>
            </w:r>
          </w:p>
        </w:tc>
      </w:tr>
      <w:tr w:rsidR="00C62D0E">
        <w:trPr>
          <w:trHeight w:val="258"/>
        </w:trPr>
        <w:tc>
          <w:tcPr>
            <w:tcW w:w="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2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G3S 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18,95zł </w:t>
            </w:r>
          </w:p>
        </w:tc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7,77zł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11,18zł </w:t>
            </w:r>
          </w:p>
        </w:tc>
        <w:tc>
          <w:tcPr>
            <w:tcW w:w="1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2D0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12,07zł </w:t>
            </w:r>
          </w:p>
        </w:tc>
      </w:tr>
    </w:tbl>
    <w:p w:rsidR="00C62D0E" w:rsidRDefault="00000000">
      <w:pPr>
        <w:spacing w:after="12687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62D0E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62D0E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AC8D5ABA-122E-4A33-AAD8-90EBF17D3AC5. Podpisany</w:t>
      </w:r>
      <w:r>
        <w:rPr>
          <w:rFonts w:ascii="Times New Roman" w:eastAsia="Times New Roman" w:hAnsi="Times New Roman" w:cs="Times New Roman"/>
          <w:sz w:val="18"/>
        </w:rPr>
        <w:tab/>
        <w:t>Strona 2</w:t>
      </w:r>
    </w:p>
    <w:sectPr w:rsidR="00C62D0E">
      <w:pgSz w:w="11906" w:h="16838"/>
      <w:pgMar w:top="1419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A39BE"/>
    <w:multiLevelType w:val="hybridMultilevel"/>
    <w:tmpl w:val="DE121B90"/>
    <w:lvl w:ilvl="0" w:tplc="DA406AD4">
      <w:start w:val="1"/>
      <w:numFmt w:val="decimal"/>
      <w:lvlText w:val="%1)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46CE74">
      <w:start w:val="1"/>
      <w:numFmt w:val="lowerLetter"/>
      <w:lvlText w:val="%2"/>
      <w:lvlJc w:val="left"/>
      <w:pPr>
        <w:ind w:left="1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8282E2">
      <w:start w:val="1"/>
      <w:numFmt w:val="lowerRoman"/>
      <w:lvlText w:val="%3"/>
      <w:lvlJc w:val="left"/>
      <w:pPr>
        <w:ind w:left="1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36BF84">
      <w:start w:val="1"/>
      <w:numFmt w:val="decimal"/>
      <w:lvlText w:val="%4"/>
      <w:lvlJc w:val="left"/>
      <w:pPr>
        <w:ind w:left="2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F04646">
      <w:start w:val="1"/>
      <w:numFmt w:val="lowerLetter"/>
      <w:lvlText w:val="%5"/>
      <w:lvlJc w:val="left"/>
      <w:pPr>
        <w:ind w:left="3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A2A7F6">
      <w:start w:val="1"/>
      <w:numFmt w:val="lowerRoman"/>
      <w:lvlText w:val="%6"/>
      <w:lvlJc w:val="left"/>
      <w:pPr>
        <w:ind w:left="4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9C4872">
      <w:start w:val="1"/>
      <w:numFmt w:val="decimal"/>
      <w:lvlText w:val="%7"/>
      <w:lvlJc w:val="left"/>
      <w:pPr>
        <w:ind w:left="4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EE1AD4">
      <w:start w:val="1"/>
      <w:numFmt w:val="lowerLetter"/>
      <w:lvlText w:val="%8"/>
      <w:lvlJc w:val="left"/>
      <w:pPr>
        <w:ind w:left="5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C08FC8">
      <w:start w:val="1"/>
      <w:numFmt w:val="lowerRoman"/>
      <w:lvlText w:val="%9"/>
      <w:lvlJc w:val="left"/>
      <w:pPr>
        <w:ind w:left="6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2799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D0E"/>
    <w:rsid w:val="000229C6"/>
    <w:rsid w:val="00C62D0E"/>
    <w:rsid w:val="00E7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1A18A-F413-4255-9E00-5A64C713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267/XVI/2025 Rady Miejskiej Węglińca z dnia 30 czerwca 2025 r. w sprawie określenia stawek dotacji przedmiotowych dla Zakładu Usług Komunalnych w Węglińcu na realizację zadań bieżących</dc:title>
  <dc:subject>Uchwała Nr 267/XVI/2025 z dnia 30 czerwca 2025 r. Rady Miejskiej Węglińca w sprawie określenia stawek dotacji przedmiotowych dla Zakładu Usług Komunalnych w Węglińcu na realizację zadań bieżących</dc:subject>
  <dc:creator>Rada Miejska Weglinca</dc:creator>
  <cp:keywords/>
  <cp:lastModifiedBy>Tatiana</cp:lastModifiedBy>
  <cp:revision>2</cp:revision>
  <dcterms:created xsi:type="dcterms:W3CDTF">2025-07-02T09:22:00Z</dcterms:created>
  <dcterms:modified xsi:type="dcterms:W3CDTF">2025-07-02T09:22:00Z</dcterms:modified>
</cp:coreProperties>
</file>