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3B1A0" w14:textId="77777777" w:rsidR="00207EA1" w:rsidRDefault="00000000">
      <w:pPr>
        <w:pStyle w:val="Teksttreci20"/>
      </w:pPr>
      <w:r>
        <w:rPr>
          <w:rStyle w:val="Teksttreci2"/>
          <w:b/>
          <w:bCs/>
        </w:rPr>
        <w:t>ZARZĄDZENIE NR 93/2025</w:t>
      </w:r>
      <w:r>
        <w:rPr>
          <w:rStyle w:val="Teksttreci2"/>
          <w:b/>
          <w:bCs/>
        </w:rPr>
        <w:br/>
        <w:t>Burmistrza Gminy i Miasta Węgliniec</w:t>
      </w:r>
      <w:r>
        <w:rPr>
          <w:rStyle w:val="Teksttreci2"/>
          <w:b/>
          <w:bCs/>
        </w:rPr>
        <w:br/>
        <w:t>z dnia 01.09.2025 r.</w:t>
      </w:r>
    </w:p>
    <w:p w14:paraId="78720F34" w14:textId="77777777" w:rsidR="00207EA1" w:rsidRDefault="00000000">
      <w:pPr>
        <w:pStyle w:val="Nagwek20"/>
        <w:keepNext/>
        <w:keepLines/>
        <w:spacing w:after="560"/>
      </w:pPr>
      <w:bookmarkStart w:id="0" w:name="bookmark2"/>
      <w:r>
        <w:rPr>
          <w:rStyle w:val="Nagwek2"/>
          <w:b/>
          <w:bCs/>
        </w:rPr>
        <w:t>w sprawie ustalenia zasad kwalifikowania zdarzeń gospodarczych w jednostkach</w:t>
      </w:r>
      <w:r>
        <w:rPr>
          <w:rStyle w:val="Nagwek2"/>
          <w:b/>
          <w:bCs/>
        </w:rPr>
        <w:br/>
        <w:t>oświatowych prowadzonych przez Gminę Węgliniec</w:t>
      </w:r>
      <w:bookmarkEnd w:id="0"/>
    </w:p>
    <w:p w14:paraId="4ABE340D" w14:textId="77777777" w:rsidR="00207EA1" w:rsidRDefault="00000000">
      <w:pPr>
        <w:pStyle w:val="Teksttreci0"/>
        <w:spacing w:after="340" w:line="286" w:lineRule="auto"/>
        <w:jc w:val="both"/>
      </w:pPr>
      <w:r>
        <w:rPr>
          <w:rStyle w:val="Teksttreci"/>
        </w:rPr>
        <w:t>Na podstawie art. 3 0 ust. 2 pkt 4 ustawy z dnia 8 marca 1990 r. o samorządzie gminnym (Dz. U. z 2025r. poz. 1153), Rozporządzenia Ministra Finansów z dnia 2 marca 2010r. w sprawie szczegółowej klasyfikacji dochodów, wydatków, przychodów i rozchodów oraz środków pochodzących ze źródeł zagranicznych (Dz. U. z 2022r., poz. 513), § 20 ust. 1 pkt 4 lit. a i b Rozporządzenia Ministra Rozwoju i 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2020r., poz. 342) oraz § 20 ust. 2 lit. b Regulaminu Organizacyjnego Urzędu Gminy i Miasta w Węglińcu, Burmistrz Gminy i Miasta Węgliniec zarządza co następuje:</w:t>
      </w:r>
    </w:p>
    <w:p w14:paraId="7DDFC1CB" w14:textId="77777777" w:rsidR="00207EA1" w:rsidRDefault="00000000">
      <w:pPr>
        <w:pStyle w:val="Nagwek20"/>
        <w:keepNext/>
        <w:keepLines/>
        <w:spacing w:after="120"/>
      </w:pPr>
      <w:bookmarkStart w:id="1" w:name="bookmark4"/>
      <w:r>
        <w:rPr>
          <w:rStyle w:val="Nagwek2"/>
          <w:b/>
          <w:bCs/>
        </w:rPr>
        <w:t>§1-</w:t>
      </w:r>
      <w:bookmarkEnd w:id="1"/>
    </w:p>
    <w:p w14:paraId="0C1A783E" w14:textId="77777777" w:rsidR="00207EA1" w:rsidRDefault="00000000">
      <w:pPr>
        <w:pStyle w:val="Teksttreci0"/>
        <w:numPr>
          <w:ilvl w:val="0"/>
          <w:numId w:val="1"/>
        </w:numPr>
        <w:tabs>
          <w:tab w:val="left" w:pos="360"/>
        </w:tabs>
        <w:ind w:left="440" w:hanging="440"/>
        <w:jc w:val="both"/>
      </w:pPr>
      <w:r>
        <w:rPr>
          <w:rStyle w:val="Teksttreci"/>
        </w:rPr>
        <w:t>Ustala się, obowiązujące od dnia 1 września 2025r., jednolite zasady klasyfikowania wydatków w jednostkach oświatowych prowadzonych przez Gminę Węgliniec:</w:t>
      </w:r>
    </w:p>
    <w:p w14:paraId="6E83A0C9" w14:textId="77777777" w:rsidR="00207EA1" w:rsidRDefault="00000000">
      <w:pPr>
        <w:pStyle w:val="Teksttreci0"/>
        <w:numPr>
          <w:ilvl w:val="0"/>
          <w:numId w:val="2"/>
        </w:numPr>
        <w:tabs>
          <w:tab w:val="left" w:pos="743"/>
        </w:tabs>
        <w:ind w:firstLine="440"/>
      </w:pPr>
      <w:r>
        <w:rPr>
          <w:rStyle w:val="Teksttreci"/>
        </w:rPr>
        <w:t>Szkoła Podstawowa w Węglińcu,</w:t>
      </w:r>
    </w:p>
    <w:p w14:paraId="4ABC3D0C" w14:textId="77777777" w:rsidR="00207EA1" w:rsidRDefault="00000000">
      <w:pPr>
        <w:pStyle w:val="Teksttreci0"/>
        <w:numPr>
          <w:ilvl w:val="0"/>
          <w:numId w:val="2"/>
        </w:numPr>
        <w:tabs>
          <w:tab w:val="left" w:pos="753"/>
        </w:tabs>
        <w:ind w:firstLine="440"/>
      </w:pPr>
      <w:r>
        <w:rPr>
          <w:rStyle w:val="Teksttreci"/>
        </w:rPr>
        <w:t>Szkoła Podstawowa w Ruszowie,</w:t>
      </w:r>
    </w:p>
    <w:p w14:paraId="327EE348" w14:textId="77777777" w:rsidR="00207EA1" w:rsidRDefault="00000000">
      <w:pPr>
        <w:pStyle w:val="Teksttreci0"/>
        <w:numPr>
          <w:ilvl w:val="0"/>
          <w:numId w:val="2"/>
        </w:numPr>
        <w:tabs>
          <w:tab w:val="left" w:pos="758"/>
        </w:tabs>
        <w:ind w:firstLine="440"/>
      </w:pPr>
      <w:r>
        <w:rPr>
          <w:rStyle w:val="Teksttreci"/>
        </w:rPr>
        <w:t>Szkoła Podstawowa w Czerwonej Wodzie.</w:t>
      </w:r>
    </w:p>
    <w:p w14:paraId="48E2068A" w14:textId="77777777" w:rsidR="00207EA1" w:rsidRDefault="00000000">
      <w:pPr>
        <w:pStyle w:val="Teksttreci0"/>
        <w:numPr>
          <w:ilvl w:val="0"/>
          <w:numId w:val="1"/>
        </w:numPr>
        <w:tabs>
          <w:tab w:val="left" w:pos="360"/>
        </w:tabs>
      </w:pPr>
      <w:r>
        <w:rPr>
          <w:rStyle w:val="Teksttreci"/>
        </w:rPr>
        <w:t>Ustala się, że:</w:t>
      </w:r>
    </w:p>
    <w:p w14:paraId="2221BD9E" w14:textId="77777777" w:rsidR="00207EA1" w:rsidRDefault="00000000">
      <w:pPr>
        <w:pStyle w:val="Teksttreci0"/>
        <w:numPr>
          <w:ilvl w:val="0"/>
          <w:numId w:val="3"/>
        </w:numPr>
        <w:tabs>
          <w:tab w:val="left" w:pos="749"/>
        </w:tabs>
        <w:ind w:left="740" w:hanging="280"/>
        <w:jc w:val="both"/>
      </w:pPr>
      <w:r>
        <w:rPr>
          <w:rStyle w:val="Teksttreci"/>
        </w:rPr>
        <w:t>w zakresie wynagrodzeń osobowych nauczycieli i pochodnych od wynagrodzeń - wydatki do rozdziałów 80101, 80103 i 80107 klasyfikuje się według przepracowanych przez nauczyciela godzin, wykazanych przez dyrektora szkoły w miesięcznych zestawieniach;</w:t>
      </w:r>
    </w:p>
    <w:p w14:paraId="037415F1" w14:textId="77777777" w:rsidR="00207EA1" w:rsidRDefault="00000000">
      <w:pPr>
        <w:pStyle w:val="Teksttreci0"/>
        <w:numPr>
          <w:ilvl w:val="0"/>
          <w:numId w:val="3"/>
        </w:numPr>
        <w:tabs>
          <w:tab w:val="left" w:pos="773"/>
        </w:tabs>
        <w:ind w:left="740" w:hanging="280"/>
        <w:jc w:val="both"/>
      </w:pPr>
      <w:r>
        <w:rPr>
          <w:rStyle w:val="Teksttreci"/>
        </w:rPr>
        <w:t>w zakresie wynagrodzeń osobowych administracji i obsługi i pochodnych od tych wynagrodzeń - wydatki klasyfikuje się w całości do rozdziału 80101;</w:t>
      </w:r>
    </w:p>
    <w:p w14:paraId="177A733A" w14:textId="77777777" w:rsidR="00207EA1" w:rsidRDefault="00000000">
      <w:pPr>
        <w:pStyle w:val="Teksttreci0"/>
        <w:numPr>
          <w:ilvl w:val="0"/>
          <w:numId w:val="3"/>
        </w:numPr>
        <w:tabs>
          <w:tab w:val="left" w:pos="768"/>
        </w:tabs>
        <w:ind w:left="740" w:hanging="280"/>
        <w:jc w:val="both"/>
      </w:pPr>
      <w:r>
        <w:rPr>
          <w:rStyle w:val="Teksttreci"/>
        </w:rPr>
        <w:t>w zakresie odpisu ZFŚS oraz świadczeń na rzecz nauczycieli finansowanych z § 3020 wydatki klasyfikuje się w sposób następujący:</w:t>
      </w:r>
    </w:p>
    <w:p w14:paraId="4FA34625" w14:textId="77777777" w:rsidR="00207EA1" w:rsidRDefault="00000000">
      <w:pPr>
        <w:pStyle w:val="Teksttreci0"/>
        <w:numPr>
          <w:ilvl w:val="0"/>
          <w:numId w:val="4"/>
        </w:numPr>
        <w:tabs>
          <w:tab w:val="left" w:pos="1183"/>
        </w:tabs>
        <w:ind w:left="1140" w:hanging="380"/>
        <w:jc w:val="both"/>
      </w:pPr>
      <w:r>
        <w:rPr>
          <w:rStyle w:val="Teksttreci"/>
        </w:rPr>
        <w:t>do rozdziału 8 0101 dla wszystkich nauczycieli realizujących swój etat jako łączony w szkole podstawowej, oddziale przedszkolnym oraz świetlicy;</w:t>
      </w:r>
    </w:p>
    <w:p w14:paraId="45C6DD9F" w14:textId="77777777" w:rsidR="00207EA1" w:rsidRDefault="00000000">
      <w:pPr>
        <w:pStyle w:val="Teksttreci0"/>
        <w:numPr>
          <w:ilvl w:val="0"/>
          <w:numId w:val="4"/>
        </w:numPr>
        <w:tabs>
          <w:tab w:val="left" w:pos="1183"/>
        </w:tabs>
        <w:ind w:left="1140" w:hanging="380"/>
        <w:jc w:val="both"/>
      </w:pPr>
      <w:r>
        <w:rPr>
          <w:rStyle w:val="Teksttreci"/>
        </w:rPr>
        <w:t>do rozdziałów 80103 i 80107 w przypadku, gdy nauczyciel realizuje swój etat wyłącznie w oddziale przedszkolnym lub w świetlicy,</w:t>
      </w:r>
    </w:p>
    <w:p w14:paraId="7930F0FA" w14:textId="77777777" w:rsidR="00207EA1" w:rsidRDefault="00000000">
      <w:pPr>
        <w:pStyle w:val="Teksttreci0"/>
        <w:numPr>
          <w:ilvl w:val="0"/>
          <w:numId w:val="3"/>
        </w:numPr>
        <w:tabs>
          <w:tab w:val="left" w:pos="773"/>
        </w:tabs>
        <w:ind w:left="740" w:hanging="280"/>
        <w:jc w:val="both"/>
      </w:pPr>
      <w:r>
        <w:rPr>
          <w:rStyle w:val="Teksttreci"/>
        </w:rPr>
        <w:t>w zakresie wydatków rzeczowych wydatki do rozdziałów 80101 i 80103 ujmuje się poprzez zastosowanie wskaźnika procentowego, obliczonego jako iloraz liczby uczniów według stanu na pierwszy dzień września każdego roku szkolnego, uczęszczających do szkoły podstawowej, oddziałów przedszkolnych do ogólnej liczby uczniów w szkole.</w:t>
      </w:r>
    </w:p>
    <w:p w14:paraId="6599AD51" w14:textId="77777777" w:rsidR="00207EA1" w:rsidRDefault="00000000">
      <w:pPr>
        <w:pStyle w:val="Teksttreci0"/>
        <w:numPr>
          <w:ilvl w:val="0"/>
          <w:numId w:val="1"/>
        </w:numPr>
        <w:tabs>
          <w:tab w:val="left" w:pos="360"/>
        </w:tabs>
      </w:pPr>
      <w:r>
        <w:rPr>
          <w:rStyle w:val="Teksttreci"/>
        </w:rPr>
        <w:t>Zasady określonej w ust. 2 pkt 4 nie stosuje się do:</w:t>
      </w:r>
    </w:p>
    <w:p w14:paraId="539AD810" w14:textId="77777777" w:rsidR="00207EA1" w:rsidRDefault="00000000">
      <w:pPr>
        <w:pStyle w:val="Teksttreci0"/>
        <w:numPr>
          <w:ilvl w:val="0"/>
          <w:numId w:val="5"/>
        </w:numPr>
        <w:tabs>
          <w:tab w:val="left" w:pos="749"/>
        </w:tabs>
        <w:ind w:left="740" w:hanging="280"/>
        <w:jc w:val="both"/>
      </w:pPr>
      <w:r>
        <w:rPr>
          <w:rStyle w:val="Teksttreci"/>
        </w:rPr>
        <w:t>wydatków realizowanych w ramach otrzymanych dotacji celowych oraz środków pochodzących ze źródeł określonych w art. 5 ust. 1 pkt 2 i 3 ustawy z dnia 27 sierpnia 2009r. o finansach publicznych (Dz. U. z 2024r., poz. 1530 ze zm.) - dla tych wydatków stosuje się klasyfikacje budżetową określoną przez dotującego lub zgodną z treścią realizowanego projektu/programu;</w:t>
      </w:r>
    </w:p>
    <w:p w14:paraId="765FBD45" w14:textId="77777777" w:rsidR="00207EA1" w:rsidRDefault="00000000">
      <w:pPr>
        <w:pStyle w:val="Teksttreci0"/>
        <w:numPr>
          <w:ilvl w:val="0"/>
          <w:numId w:val="5"/>
        </w:numPr>
        <w:tabs>
          <w:tab w:val="left" w:pos="773"/>
        </w:tabs>
        <w:ind w:left="740" w:hanging="280"/>
        <w:jc w:val="both"/>
      </w:pPr>
      <w:r>
        <w:rPr>
          <w:rStyle w:val="Teksttreci"/>
        </w:rPr>
        <w:t>realizowanych wydatków remontowych, w tym zakupu materiałów i usług, które w całości klasyfikuje się do rozdziału 80101;</w:t>
      </w:r>
      <w:r>
        <w:br w:type="page"/>
      </w:r>
    </w:p>
    <w:p w14:paraId="51ECE9A4" w14:textId="77777777" w:rsidR="00207EA1" w:rsidRDefault="00000000">
      <w:pPr>
        <w:pStyle w:val="Teksttreci0"/>
        <w:numPr>
          <w:ilvl w:val="0"/>
          <w:numId w:val="5"/>
        </w:numPr>
        <w:tabs>
          <w:tab w:val="left" w:pos="840"/>
        </w:tabs>
        <w:spacing w:line="295" w:lineRule="auto"/>
        <w:ind w:left="740" w:hanging="260"/>
      </w:pPr>
      <w:r>
        <w:rPr>
          <w:rStyle w:val="Teksttreci"/>
        </w:rPr>
        <w:lastRenderedPageBreak/>
        <w:t>środków przeznaczonych na utrzymanie boisk i hali sportowej, które w całości klasyfikuje się do rozdziału 80101.</w:t>
      </w:r>
    </w:p>
    <w:p w14:paraId="08CC0FE0" w14:textId="77777777" w:rsidR="00207EA1" w:rsidRDefault="00000000">
      <w:pPr>
        <w:pStyle w:val="Podpistabeli0"/>
      </w:pPr>
      <w:r>
        <w:rPr>
          <w:rStyle w:val="Podpistabeli"/>
        </w:rPr>
        <w:t>4. Wskaźnik, o którym mowa w ust. 2 pkt 4 na rok szkolny 2025/2026 wynosi:</w:t>
      </w: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4253"/>
        <w:gridCol w:w="1992"/>
        <w:gridCol w:w="1824"/>
      </w:tblGrid>
      <w:tr w:rsidR="00207EA1" w14:paraId="13DBCA83" w14:textId="77777777">
        <w:tblPrEx>
          <w:tblCellMar>
            <w:top w:w="0" w:type="dxa"/>
            <w:bottom w:w="0" w:type="dxa"/>
          </w:tblCellMar>
        </w:tblPrEx>
        <w:trPr>
          <w:trHeight w:hRule="exact" w:val="576"/>
          <w:jc w:val="center"/>
        </w:trPr>
        <w:tc>
          <w:tcPr>
            <w:tcW w:w="643" w:type="dxa"/>
            <w:vMerge w:val="restart"/>
            <w:tcBorders>
              <w:top w:val="single" w:sz="4" w:space="0" w:color="auto"/>
              <w:left w:val="single" w:sz="4" w:space="0" w:color="auto"/>
            </w:tcBorders>
            <w:shd w:val="clear" w:color="auto" w:fill="auto"/>
          </w:tcPr>
          <w:p w14:paraId="1789A8F1" w14:textId="77777777" w:rsidR="00207EA1" w:rsidRDefault="00000000">
            <w:pPr>
              <w:pStyle w:val="Inne0"/>
              <w:spacing w:line="240" w:lineRule="auto"/>
            </w:pPr>
            <w:r>
              <w:rPr>
                <w:rStyle w:val="Inne"/>
              </w:rPr>
              <w:t>Lp.</w:t>
            </w:r>
          </w:p>
        </w:tc>
        <w:tc>
          <w:tcPr>
            <w:tcW w:w="4253" w:type="dxa"/>
            <w:vMerge w:val="restart"/>
            <w:tcBorders>
              <w:top w:val="single" w:sz="4" w:space="0" w:color="auto"/>
              <w:left w:val="single" w:sz="4" w:space="0" w:color="auto"/>
            </w:tcBorders>
            <w:shd w:val="clear" w:color="auto" w:fill="auto"/>
          </w:tcPr>
          <w:p w14:paraId="1722F19B" w14:textId="77777777" w:rsidR="00207EA1" w:rsidRDefault="00000000">
            <w:pPr>
              <w:pStyle w:val="Inne0"/>
              <w:spacing w:line="240" w:lineRule="auto"/>
              <w:jc w:val="center"/>
            </w:pPr>
            <w:r>
              <w:rPr>
                <w:rStyle w:val="Inne"/>
              </w:rPr>
              <w:t>Nazwa placówki oświatowej</w:t>
            </w:r>
          </w:p>
        </w:tc>
        <w:tc>
          <w:tcPr>
            <w:tcW w:w="3816" w:type="dxa"/>
            <w:gridSpan w:val="2"/>
            <w:tcBorders>
              <w:top w:val="single" w:sz="4" w:space="0" w:color="auto"/>
              <w:left w:val="single" w:sz="4" w:space="0" w:color="auto"/>
              <w:right w:val="single" w:sz="4" w:space="0" w:color="auto"/>
            </w:tcBorders>
            <w:shd w:val="clear" w:color="auto" w:fill="auto"/>
            <w:vAlign w:val="bottom"/>
          </w:tcPr>
          <w:p w14:paraId="329B88CC" w14:textId="77777777" w:rsidR="00207EA1" w:rsidRDefault="00000000">
            <w:pPr>
              <w:pStyle w:val="Inne0"/>
              <w:spacing w:line="300" w:lineRule="auto"/>
              <w:jc w:val="center"/>
            </w:pPr>
            <w:r>
              <w:rPr>
                <w:rStyle w:val="Inne"/>
              </w:rPr>
              <w:t>Wskaźnik podziału wydatków rzeczowych w %</w:t>
            </w:r>
          </w:p>
        </w:tc>
      </w:tr>
      <w:tr w:rsidR="00207EA1" w14:paraId="3DA11CCD" w14:textId="77777777">
        <w:tblPrEx>
          <w:tblCellMar>
            <w:top w:w="0" w:type="dxa"/>
            <w:bottom w:w="0" w:type="dxa"/>
          </w:tblCellMar>
        </w:tblPrEx>
        <w:trPr>
          <w:trHeight w:hRule="exact" w:val="293"/>
          <w:jc w:val="center"/>
        </w:trPr>
        <w:tc>
          <w:tcPr>
            <w:tcW w:w="643" w:type="dxa"/>
            <w:vMerge/>
            <w:tcBorders>
              <w:left w:val="single" w:sz="4" w:space="0" w:color="auto"/>
            </w:tcBorders>
            <w:shd w:val="clear" w:color="auto" w:fill="auto"/>
          </w:tcPr>
          <w:p w14:paraId="71F4B33E" w14:textId="77777777" w:rsidR="00207EA1" w:rsidRDefault="00207EA1"/>
        </w:tc>
        <w:tc>
          <w:tcPr>
            <w:tcW w:w="4253" w:type="dxa"/>
            <w:vMerge/>
            <w:tcBorders>
              <w:left w:val="single" w:sz="4" w:space="0" w:color="auto"/>
            </w:tcBorders>
            <w:shd w:val="clear" w:color="auto" w:fill="auto"/>
          </w:tcPr>
          <w:p w14:paraId="538D3F71" w14:textId="77777777" w:rsidR="00207EA1" w:rsidRDefault="00207EA1"/>
        </w:tc>
        <w:tc>
          <w:tcPr>
            <w:tcW w:w="1992" w:type="dxa"/>
            <w:tcBorders>
              <w:top w:val="single" w:sz="4" w:space="0" w:color="auto"/>
              <w:left w:val="single" w:sz="4" w:space="0" w:color="auto"/>
            </w:tcBorders>
            <w:shd w:val="clear" w:color="auto" w:fill="auto"/>
            <w:vAlign w:val="bottom"/>
          </w:tcPr>
          <w:p w14:paraId="6CC7BDDF" w14:textId="77777777" w:rsidR="00207EA1" w:rsidRDefault="00000000">
            <w:pPr>
              <w:pStyle w:val="Inne0"/>
              <w:spacing w:line="240" w:lineRule="auto"/>
              <w:jc w:val="center"/>
            </w:pPr>
            <w:r>
              <w:rPr>
                <w:rStyle w:val="Inne"/>
              </w:rPr>
              <w:t>Rozdział 80101</w:t>
            </w:r>
          </w:p>
        </w:tc>
        <w:tc>
          <w:tcPr>
            <w:tcW w:w="1824" w:type="dxa"/>
            <w:tcBorders>
              <w:top w:val="single" w:sz="4" w:space="0" w:color="auto"/>
              <w:left w:val="single" w:sz="4" w:space="0" w:color="auto"/>
              <w:right w:val="single" w:sz="4" w:space="0" w:color="auto"/>
            </w:tcBorders>
            <w:shd w:val="clear" w:color="auto" w:fill="auto"/>
            <w:vAlign w:val="bottom"/>
          </w:tcPr>
          <w:p w14:paraId="45CBFC76" w14:textId="77777777" w:rsidR="00207EA1" w:rsidRDefault="00000000">
            <w:pPr>
              <w:pStyle w:val="Inne0"/>
              <w:spacing w:line="240" w:lineRule="auto"/>
              <w:jc w:val="center"/>
            </w:pPr>
            <w:r>
              <w:rPr>
                <w:rStyle w:val="Inne"/>
              </w:rPr>
              <w:t>Rozdział 80103</w:t>
            </w:r>
          </w:p>
        </w:tc>
      </w:tr>
      <w:tr w:rsidR="00207EA1" w14:paraId="49DB4677" w14:textId="77777777">
        <w:tblPrEx>
          <w:tblCellMar>
            <w:top w:w="0" w:type="dxa"/>
            <w:bottom w:w="0" w:type="dxa"/>
          </w:tblCellMar>
        </w:tblPrEx>
        <w:trPr>
          <w:trHeight w:hRule="exact" w:val="288"/>
          <w:jc w:val="center"/>
        </w:trPr>
        <w:tc>
          <w:tcPr>
            <w:tcW w:w="643" w:type="dxa"/>
            <w:tcBorders>
              <w:top w:val="single" w:sz="4" w:space="0" w:color="auto"/>
              <w:left w:val="single" w:sz="4" w:space="0" w:color="auto"/>
            </w:tcBorders>
            <w:shd w:val="clear" w:color="auto" w:fill="auto"/>
            <w:vAlign w:val="bottom"/>
          </w:tcPr>
          <w:p w14:paraId="68DAA775" w14:textId="77777777" w:rsidR="00207EA1" w:rsidRDefault="00000000">
            <w:pPr>
              <w:pStyle w:val="Inne0"/>
              <w:spacing w:line="240" w:lineRule="auto"/>
            </w:pPr>
            <w:r>
              <w:rPr>
                <w:rStyle w:val="Inne"/>
              </w:rPr>
              <w:t>1.</w:t>
            </w:r>
          </w:p>
        </w:tc>
        <w:tc>
          <w:tcPr>
            <w:tcW w:w="4253" w:type="dxa"/>
            <w:tcBorders>
              <w:top w:val="single" w:sz="4" w:space="0" w:color="auto"/>
              <w:left w:val="single" w:sz="4" w:space="0" w:color="auto"/>
            </w:tcBorders>
            <w:shd w:val="clear" w:color="auto" w:fill="auto"/>
            <w:vAlign w:val="bottom"/>
          </w:tcPr>
          <w:p w14:paraId="27571C2E" w14:textId="77777777" w:rsidR="00207EA1" w:rsidRDefault="00000000">
            <w:pPr>
              <w:pStyle w:val="Inne0"/>
              <w:spacing w:line="240" w:lineRule="auto"/>
            </w:pPr>
            <w:r>
              <w:rPr>
                <w:rStyle w:val="Inne"/>
              </w:rPr>
              <w:t>Szkoła Podstawowa w Węglińcu</w:t>
            </w:r>
          </w:p>
        </w:tc>
        <w:tc>
          <w:tcPr>
            <w:tcW w:w="1992" w:type="dxa"/>
            <w:tcBorders>
              <w:top w:val="single" w:sz="4" w:space="0" w:color="auto"/>
              <w:left w:val="single" w:sz="4" w:space="0" w:color="auto"/>
            </w:tcBorders>
            <w:shd w:val="clear" w:color="auto" w:fill="auto"/>
            <w:vAlign w:val="bottom"/>
          </w:tcPr>
          <w:p w14:paraId="53E0E108" w14:textId="77777777" w:rsidR="00207EA1" w:rsidRDefault="00000000">
            <w:pPr>
              <w:pStyle w:val="Inne0"/>
              <w:spacing w:line="240" w:lineRule="auto"/>
              <w:jc w:val="center"/>
            </w:pPr>
            <w:r>
              <w:rPr>
                <w:rStyle w:val="Inne"/>
              </w:rPr>
              <w:t>100</w:t>
            </w:r>
          </w:p>
        </w:tc>
        <w:tc>
          <w:tcPr>
            <w:tcW w:w="1824" w:type="dxa"/>
            <w:tcBorders>
              <w:top w:val="single" w:sz="4" w:space="0" w:color="auto"/>
              <w:left w:val="single" w:sz="4" w:space="0" w:color="auto"/>
              <w:right w:val="single" w:sz="4" w:space="0" w:color="auto"/>
            </w:tcBorders>
            <w:shd w:val="clear" w:color="auto" w:fill="auto"/>
            <w:vAlign w:val="bottom"/>
          </w:tcPr>
          <w:p w14:paraId="7525E551" w14:textId="77777777" w:rsidR="00207EA1" w:rsidRDefault="00000000">
            <w:pPr>
              <w:pStyle w:val="Inne0"/>
              <w:spacing w:line="240" w:lineRule="auto"/>
              <w:jc w:val="center"/>
            </w:pPr>
            <w:r>
              <w:rPr>
                <w:rStyle w:val="Inne"/>
              </w:rPr>
              <w:t>0</w:t>
            </w:r>
          </w:p>
        </w:tc>
      </w:tr>
      <w:tr w:rsidR="00207EA1" w14:paraId="2C4CA742" w14:textId="77777777">
        <w:tblPrEx>
          <w:tblCellMar>
            <w:top w:w="0" w:type="dxa"/>
            <w:bottom w:w="0" w:type="dxa"/>
          </w:tblCellMar>
        </w:tblPrEx>
        <w:trPr>
          <w:trHeight w:hRule="exact" w:val="288"/>
          <w:jc w:val="center"/>
        </w:trPr>
        <w:tc>
          <w:tcPr>
            <w:tcW w:w="643" w:type="dxa"/>
            <w:tcBorders>
              <w:top w:val="single" w:sz="4" w:space="0" w:color="auto"/>
              <w:left w:val="single" w:sz="4" w:space="0" w:color="auto"/>
            </w:tcBorders>
            <w:shd w:val="clear" w:color="auto" w:fill="auto"/>
            <w:vAlign w:val="bottom"/>
          </w:tcPr>
          <w:p w14:paraId="7C2B2EC0" w14:textId="77777777" w:rsidR="00207EA1" w:rsidRDefault="00000000">
            <w:pPr>
              <w:pStyle w:val="Inne0"/>
              <w:spacing w:line="240" w:lineRule="auto"/>
            </w:pPr>
            <w:r>
              <w:rPr>
                <w:rStyle w:val="Inne"/>
              </w:rPr>
              <w:t>2.</w:t>
            </w:r>
          </w:p>
        </w:tc>
        <w:tc>
          <w:tcPr>
            <w:tcW w:w="4253" w:type="dxa"/>
            <w:tcBorders>
              <w:top w:val="single" w:sz="4" w:space="0" w:color="auto"/>
              <w:left w:val="single" w:sz="4" w:space="0" w:color="auto"/>
            </w:tcBorders>
            <w:shd w:val="clear" w:color="auto" w:fill="auto"/>
            <w:vAlign w:val="bottom"/>
          </w:tcPr>
          <w:p w14:paraId="1FAD6EB1" w14:textId="77777777" w:rsidR="00207EA1" w:rsidRDefault="00000000">
            <w:pPr>
              <w:pStyle w:val="Inne0"/>
              <w:spacing w:line="240" w:lineRule="auto"/>
            </w:pPr>
            <w:r>
              <w:rPr>
                <w:rStyle w:val="Inne"/>
              </w:rPr>
              <w:t>Szkoła Podstawowa w Ruszowie</w:t>
            </w:r>
          </w:p>
        </w:tc>
        <w:tc>
          <w:tcPr>
            <w:tcW w:w="1992" w:type="dxa"/>
            <w:tcBorders>
              <w:top w:val="single" w:sz="4" w:space="0" w:color="auto"/>
              <w:left w:val="single" w:sz="4" w:space="0" w:color="auto"/>
            </w:tcBorders>
            <w:shd w:val="clear" w:color="auto" w:fill="auto"/>
            <w:vAlign w:val="bottom"/>
          </w:tcPr>
          <w:p w14:paraId="5B7C485A" w14:textId="77777777" w:rsidR="00207EA1" w:rsidRDefault="00000000">
            <w:pPr>
              <w:pStyle w:val="Inne0"/>
              <w:spacing w:line="240" w:lineRule="auto"/>
              <w:jc w:val="center"/>
            </w:pPr>
            <w:r>
              <w:rPr>
                <w:rStyle w:val="Inne"/>
              </w:rPr>
              <w:t>91</w:t>
            </w:r>
          </w:p>
        </w:tc>
        <w:tc>
          <w:tcPr>
            <w:tcW w:w="1824" w:type="dxa"/>
            <w:tcBorders>
              <w:top w:val="single" w:sz="4" w:space="0" w:color="auto"/>
              <w:left w:val="single" w:sz="4" w:space="0" w:color="auto"/>
              <w:right w:val="single" w:sz="4" w:space="0" w:color="auto"/>
            </w:tcBorders>
            <w:shd w:val="clear" w:color="auto" w:fill="auto"/>
            <w:vAlign w:val="bottom"/>
          </w:tcPr>
          <w:p w14:paraId="49F08C8C" w14:textId="77777777" w:rsidR="00207EA1" w:rsidRDefault="00000000">
            <w:pPr>
              <w:pStyle w:val="Inne0"/>
              <w:spacing w:line="240" w:lineRule="auto"/>
              <w:jc w:val="center"/>
            </w:pPr>
            <w:r>
              <w:rPr>
                <w:rStyle w:val="Inne"/>
              </w:rPr>
              <w:t>9</w:t>
            </w:r>
          </w:p>
        </w:tc>
      </w:tr>
      <w:tr w:rsidR="00207EA1" w14:paraId="1C741083" w14:textId="77777777">
        <w:tblPrEx>
          <w:tblCellMar>
            <w:top w:w="0" w:type="dxa"/>
            <w:bottom w:w="0" w:type="dxa"/>
          </w:tblCellMar>
        </w:tblPrEx>
        <w:trPr>
          <w:trHeight w:hRule="exact" w:val="312"/>
          <w:jc w:val="center"/>
        </w:trPr>
        <w:tc>
          <w:tcPr>
            <w:tcW w:w="643" w:type="dxa"/>
            <w:tcBorders>
              <w:top w:val="single" w:sz="4" w:space="0" w:color="auto"/>
              <w:left w:val="single" w:sz="4" w:space="0" w:color="auto"/>
              <w:bottom w:val="single" w:sz="4" w:space="0" w:color="auto"/>
            </w:tcBorders>
            <w:shd w:val="clear" w:color="auto" w:fill="auto"/>
          </w:tcPr>
          <w:p w14:paraId="13B964FF" w14:textId="77777777" w:rsidR="00207EA1" w:rsidRDefault="00000000">
            <w:pPr>
              <w:pStyle w:val="Inne0"/>
              <w:spacing w:line="240" w:lineRule="auto"/>
            </w:pPr>
            <w:r>
              <w:rPr>
                <w:rStyle w:val="Inne"/>
              </w:rPr>
              <w:t>3.</w:t>
            </w:r>
          </w:p>
        </w:tc>
        <w:tc>
          <w:tcPr>
            <w:tcW w:w="4253" w:type="dxa"/>
            <w:tcBorders>
              <w:top w:val="single" w:sz="4" w:space="0" w:color="auto"/>
              <w:left w:val="single" w:sz="4" w:space="0" w:color="auto"/>
              <w:bottom w:val="single" w:sz="4" w:space="0" w:color="auto"/>
            </w:tcBorders>
            <w:shd w:val="clear" w:color="auto" w:fill="auto"/>
          </w:tcPr>
          <w:p w14:paraId="4A645231" w14:textId="77777777" w:rsidR="00207EA1" w:rsidRDefault="00000000">
            <w:pPr>
              <w:pStyle w:val="Inne0"/>
              <w:spacing w:line="240" w:lineRule="auto"/>
            </w:pPr>
            <w:r>
              <w:rPr>
                <w:rStyle w:val="Inne"/>
              </w:rPr>
              <w:t>Szkoła Podstawowa w Czerwonej Wodzie</w:t>
            </w:r>
          </w:p>
        </w:tc>
        <w:tc>
          <w:tcPr>
            <w:tcW w:w="1992" w:type="dxa"/>
            <w:tcBorders>
              <w:top w:val="single" w:sz="4" w:space="0" w:color="auto"/>
              <w:left w:val="single" w:sz="4" w:space="0" w:color="auto"/>
              <w:bottom w:val="single" w:sz="4" w:space="0" w:color="auto"/>
            </w:tcBorders>
            <w:shd w:val="clear" w:color="auto" w:fill="auto"/>
          </w:tcPr>
          <w:p w14:paraId="05B20D8D" w14:textId="77777777" w:rsidR="00207EA1" w:rsidRDefault="00000000">
            <w:pPr>
              <w:pStyle w:val="Inne0"/>
              <w:spacing w:line="240" w:lineRule="auto"/>
              <w:jc w:val="center"/>
            </w:pPr>
            <w:r>
              <w:rPr>
                <w:rStyle w:val="Inne"/>
              </w:rPr>
              <w:t>95</w:t>
            </w:r>
          </w:p>
        </w:tc>
        <w:tc>
          <w:tcPr>
            <w:tcW w:w="1824" w:type="dxa"/>
            <w:tcBorders>
              <w:top w:val="single" w:sz="4" w:space="0" w:color="auto"/>
              <w:left w:val="single" w:sz="4" w:space="0" w:color="auto"/>
              <w:bottom w:val="single" w:sz="4" w:space="0" w:color="auto"/>
              <w:right w:val="single" w:sz="4" w:space="0" w:color="auto"/>
            </w:tcBorders>
            <w:shd w:val="clear" w:color="auto" w:fill="auto"/>
          </w:tcPr>
          <w:p w14:paraId="1ABE9558" w14:textId="77777777" w:rsidR="00207EA1" w:rsidRDefault="00000000">
            <w:pPr>
              <w:pStyle w:val="Inne0"/>
              <w:spacing w:line="240" w:lineRule="auto"/>
              <w:jc w:val="center"/>
            </w:pPr>
            <w:r>
              <w:rPr>
                <w:rStyle w:val="Inne"/>
              </w:rPr>
              <w:t>5</w:t>
            </w:r>
          </w:p>
        </w:tc>
      </w:tr>
    </w:tbl>
    <w:p w14:paraId="2BAA2644" w14:textId="77777777" w:rsidR="00207EA1" w:rsidRDefault="00207EA1">
      <w:pPr>
        <w:spacing w:after="239" w:line="1" w:lineRule="exact"/>
      </w:pPr>
    </w:p>
    <w:p w14:paraId="398ACCC7" w14:textId="77777777" w:rsidR="00207EA1" w:rsidRDefault="00000000">
      <w:pPr>
        <w:pStyle w:val="Teksttreci0"/>
        <w:spacing w:after="240" w:line="295" w:lineRule="auto"/>
        <w:ind w:left="740" w:hanging="340"/>
        <w:jc w:val="both"/>
      </w:pPr>
      <w:r>
        <w:rPr>
          <w:rStyle w:val="Teksttreci"/>
        </w:rPr>
        <w:t>5. Zapisu w księgach rachunkowych, uwzględniających zasady określone w ust. 2 pkt 4 dokonuje się raz w miesiącu, pod datą ostatniego dnia miesiąca, na podstawie dokumentu PK, podpisanego przez Głównego Księgowego Jednostek Obsługiwanych i Kierownika Wydziału Usług Wspólnych i Rozwoju.</w:t>
      </w:r>
    </w:p>
    <w:p w14:paraId="1CDED279" w14:textId="77777777" w:rsidR="00207EA1" w:rsidRDefault="00000000">
      <w:pPr>
        <w:pStyle w:val="Nagwek20"/>
        <w:keepNext/>
        <w:keepLines/>
        <w:spacing w:line="254" w:lineRule="auto"/>
      </w:pPr>
      <w:bookmarkStart w:id="2" w:name="bookmark6"/>
      <w:r>
        <w:rPr>
          <w:rStyle w:val="Nagwek2"/>
          <w:b/>
          <w:bCs/>
        </w:rPr>
        <w:t>§2.</w:t>
      </w:r>
      <w:bookmarkEnd w:id="2"/>
    </w:p>
    <w:p w14:paraId="2B3D402E" w14:textId="77777777" w:rsidR="00207EA1" w:rsidRDefault="00000000">
      <w:pPr>
        <w:pStyle w:val="Teksttreci0"/>
        <w:spacing w:after="240" w:line="305" w:lineRule="auto"/>
      </w:pPr>
      <w:r>
        <w:rPr>
          <w:rStyle w:val="Teksttreci"/>
        </w:rPr>
        <w:t>Wykonanie zarządzenia powierza się Skarbnikowi Gminy i Miasta Węgliniec i Kierownikowi Wydziału Usług Wspólnych i Rozwoju.</w:t>
      </w:r>
    </w:p>
    <w:p w14:paraId="67D3DE7B" w14:textId="77777777" w:rsidR="00207EA1" w:rsidRDefault="00000000">
      <w:pPr>
        <w:pStyle w:val="Nagwek20"/>
        <w:keepNext/>
        <w:keepLines/>
      </w:pPr>
      <w:bookmarkStart w:id="3" w:name="bookmark8"/>
      <w:r>
        <w:rPr>
          <w:rStyle w:val="Nagwek2"/>
          <w:b/>
          <w:bCs/>
        </w:rPr>
        <w:t>§3.</w:t>
      </w:r>
      <w:bookmarkEnd w:id="3"/>
    </w:p>
    <w:p w14:paraId="460AF03F" w14:textId="77777777" w:rsidR="00207EA1" w:rsidRDefault="00000000">
      <w:pPr>
        <w:pStyle w:val="Teksttreci0"/>
        <w:spacing w:after="540" w:line="286" w:lineRule="auto"/>
      </w:pPr>
      <w:r>
        <w:rPr>
          <w:rStyle w:val="Teksttreci"/>
        </w:rPr>
        <w:t>Z dniem 01.09.2025r. traci moc Zarządzenie nr 89/2024 Burmistrza Gminy i Miasta Węgliniec z dnia 2 września 2024r. w sprawie zasad klasyfikowania zdarzeń gospodarczych w jednostkach oświatowych prowadzonych przez Gminę Węgliniec.</w:t>
      </w:r>
    </w:p>
    <w:p w14:paraId="2CAF7961" w14:textId="77777777" w:rsidR="00207EA1" w:rsidRDefault="00000000">
      <w:pPr>
        <w:pStyle w:val="Nagwek20"/>
        <w:keepNext/>
        <w:keepLines/>
      </w:pPr>
      <w:bookmarkStart w:id="4" w:name="bookmark10"/>
      <w:r>
        <w:rPr>
          <w:rStyle w:val="Nagwek2"/>
          <w:b/>
          <w:bCs/>
        </w:rPr>
        <w:t>§4.</w:t>
      </w:r>
      <w:bookmarkEnd w:id="4"/>
    </w:p>
    <w:p w14:paraId="62D04591" w14:textId="77777777" w:rsidR="00207EA1" w:rsidRDefault="00000000">
      <w:pPr>
        <w:pStyle w:val="Teksttreci0"/>
        <w:spacing w:after="1120" w:line="240" w:lineRule="auto"/>
      </w:pPr>
      <w:r>
        <w:rPr>
          <w:rStyle w:val="Teksttreci"/>
        </w:rPr>
        <w:t>Zarządzenie obowiązuje od 01.09.2025r.</w:t>
      </w:r>
    </w:p>
    <w:p w14:paraId="716C4D95" w14:textId="77777777" w:rsidR="00207EA1" w:rsidRDefault="00000000">
      <w:pPr>
        <w:pStyle w:val="Teksttreci0"/>
        <w:spacing w:after="240" w:line="240" w:lineRule="auto"/>
      </w:pPr>
      <w:proofErr w:type="spellStart"/>
      <w:r>
        <w:rPr>
          <w:rStyle w:val="Teksttreci"/>
        </w:rPr>
        <w:t>Sporz</w:t>
      </w:r>
      <w:proofErr w:type="spellEnd"/>
      <w:r>
        <w:rPr>
          <w:rStyle w:val="Teksttreci"/>
        </w:rPr>
        <w:t xml:space="preserve">. </w:t>
      </w:r>
      <w:proofErr w:type="spellStart"/>
      <w:r>
        <w:rPr>
          <w:rStyle w:val="Teksttreci"/>
        </w:rPr>
        <w:t>M.Koziarska</w:t>
      </w:r>
      <w:proofErr w:type="spellEnd"/>
    </w:p>
    <w:sectPr w:rsidR="00207EA1">
      <w:pgSz w:w="11906" w:h="16838"/>
      <w:pgMar w:top="465" w:right="1347" w:bottom="1389" w:left="1357" w:header="37" w:footer="961"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C0409" w14:textId="77777777" w:rsidR="002F2CB3" w:rsidRDefault="002F2CB3">
      <w:r>
        <w:separator/>
      </w:r>
    </w:p>
  </w:endnote>
  <w:endnote w:type="continuationSeparator" w:id="0">
    <w:p w14:paraId="23B522C7" w14:textId="77777777" w:rsidR="002F2CB3" w:rsidRDefault="002F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0E9E2" w14:textId="77777777" w:rsidR="002F2CB3" w:rsidRDefault="002F2CB3"/>
  </w:footnote>
  <w:footnote w:type="continuationSeparator" w:id="0">
    <w:p w14:paraId="41F02438" w14:textId="77777777" w:rsidR="002F2CB3" w:rsidRDefault="002F2C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471B4"/>
    <w:multiLevelType w:val="multilevel"/>
    <w:tmpl w:val="D2D85B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EE0520"/>
    <w:multiLevelType w:val="multilevel"/>
    <w:tmpl w:val="9DB6E7C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EE09CE"/>
    <w:multiLevelType w:val="multilevel"/>
    <w:tmpl w:val="8A8ED9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79D135E"/>
    <w:multiLevelType w:val="multilevel"/>
    <w:tmpl w:val="74543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A2667B6"/>
    <w:multiLevelType w:val="multilevel"/>
    <w:tmpl w:val="0DBA03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6921340">
    <w:abstractNumId w:val="3"/>
  </w:num>
  <w:num w:numId="2" w16cid:durableId="13459746">
    <w:abstractNumId w:val="2"/>
  </w:num>
  <w:num w:numId="3" w16cid:durableId="766075394">
    <w:abstractNumId w:val="4"/>
  </w:num>
  <w:num w:numId="4" w16cid:durableId="1768887193">
    <w:abstractNumId w:val="1"/>
  </w:num>
  <w:num w:numId="5" w16cid:durableId="1411929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EA1"/>
    <w:rsid w:val="00207EA1"/>
    <w:rsid w:val="002F2CB3"/>
    <w:rsid w:val="00A47A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B5015"/>
  <w15:docId w15:val="{E23503DC-4CEB-4EA2-83C3-454E84A4A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EE7589"/>
      <w:sz w:val="26"/>
      <w:szCs w:val="26"/>
      <w:u w:val="none"/>
    </w:rPr>
  </w:style>
  <w:style w:type="character" w:customStyle="1" w:styleId="Teksttreci2">
    <w:name w:val="Tekst treści (2)_"/>
    <w:basedOn w:val="Domylnaczcionkaakapitu"/>
    <w:link w:val="Teksttreci20"/>
    <w:rPr>
      <w:rFonts w:ascii="Times New Roman" w:eastAsia="Times New Roman" w:hAnsi="Times New Roman" w:cs="Times New Roman"/>
      <w:b/>
      <w:bCs/>
      <w:i w:val="0"/>
      <w:iCs w:val="0"/>
      <w:smallCaps w:val="0"/>
      <w:strike w:val="0"/>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0"/>
      <w:szCs w:val="20"/>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val="0"/>
      <w:iCs w:val="0"/>
      <w:smallCaps w:val="0"/>
      <w:strike w:val="0"/>
      <w:sz w:val="20"/>
      <w:szCs w:val="20"/>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0"/>
      <w:szCs w:val="20"/>
      <w:u w:val="none"/>
    </w:rPr>
  </w:style>
  <w:style w:type="paragraph" w:customStyle="1" w:styleId="Nagwek10">
    <w:name w:val="Nagłówek #1"/>
    <w:basedOn w:val="Normalny"/>
    <w:link w:val="Nagwek1"/>
    <w:pPr>
      <w:spacing w:after="60" w:line="218" w:lineRule="auto"/>
      <w:ind w:left="-680"/>
      <w:outlineLvl w:val="0"/>
    </w:pPr>
    <w:rPr>
      <w:rFonts w:ascii="Times New Roman" w:eastAsia="Times New Roman" w:hAnsi="Times New Roman" w:cs="Times New Roman"/>
      <w:color w:val="EE7589"/>
      <w:sz w:val="26"/>
      <w:szCs w:val="26"/>
    </w:rPr>
  </w:style>
  <w:style w:type="paragraph" w:customStyle="1" w:styleId="Teksttreci20">
    <w:name w:val="Tekst treści (2)"/>
    <w:basedOn w:val="Normalny"/>
    <w:link w:val="Teksttreci2"/>
    <w:pPr>
      <w:spacing w:after="260" w:line="264" w:lineRule="auto"/>
      <w:jc w:val="center"/>
    </w:pPr>
    <w:rPr>
      <w:rFonts w:ascii="Times New Roman" w:eastAsia="Times New Roman" w:hAnsi="Times New Roman" w:cs="Times New Roman"/>
      <w:b/>
      <w:bCs/>
    </w:rPr>
  </w:style>
  <w:style w:type="paragraph" w:customStyle="1" w:styleId="Nagwek20">
    <w:name w:val="Nagłówek #2"/>
    <w:basedOn w:val="Normalny"/>
    <w:link w:val="Nagwek2"/>
    <w:pPr>
      <w:spacing w:after="240"/>
      <w:jc w:val="center"/>
      <w:outlineLvl w:val="1"/>
    </w:pPr>
    <w:rPr>
      <w:rFonts w:ascii="Times New Roman" w:eastAsia="Times New Roman" w:hAnsi="Times New Roman" w:cs="Times New Roman"/>
      <w:b/>
      <w:bCs/>
    </w:rPr>
  </w:style>
  <w:style w:type="paragraph" w:customStyle="1" w:styleId="Teksttreci0">
    <w:name w:val="Tekst treści"/>
    <w:basedOn w:val="Normalny"/>
    <w:link w:val="Teksttreci"/>
    <w:pPr>
      <w:spacing w:line="288" w:lineRule="auto"/>
    </w:pPr>
    <w:rPr>
      <w:rFonts w:ascii="Times New Roman" w:eastAsia="Times New Roman" w:hAnsi="Times New Roman" w:cs="Times New Roman"/>
      <w:sz w:val="20"/>
      <w:szCs w:val="20"/>
    </w:rPr>
  </w:style>
  <w:style w:type="paragraph" w:customStyle="1" w:styleId="Podpistabeli0">
    <w:name w:val="Podpis tabeli"/>
    <w:basedOn w:val="Normalny"/>
    <w:link w:val="Podpistabeli"/>
    <w:rPr>
      <w:rFonts w:ascii="Times New Roman" w:eastAsia="Times New Roman" w:hAnsi="Times New Roman" w:cs="Times New Roman"/>
      <w:sz w:val="20"/>
      <w:szCs w:val="20"/>
    </w:rPr>
  </w:style>
  <w:style w:type="paragraph" w:customStyle="1" w:styleId="Inne0">
    <w:name w:val="Inne"/>
    <w:basedOn w:val="Normalny"/>
    <w:link w:val="Inne"/>
    <w:pPr>
      <w:spacing w:line="288"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593</Words>
  <Characters>3562</Characters>
  <Application>Microsoft Office Word</Application>
  <DocSecurity>0</DocSecurity>
  <Lines>29</Lines>
  <Paragraphs>8</Paragraphs>
  <ScaleCrop>false</ScaleCrop>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SKM_C25825102210290</dc:title>
  <dc:subject/>
  <dc:creator/>
  <cp:keywords/>
  <cp:lastModifiedBy>Admin</cp:lastModifiedBy>
  <cp:revision>3</cp:revision>
  <dcterms:created xsi:type="dcterms:W3CDTF">2025-10-22T11:23:00Z</dcterms:created>
  <dcterms:modified xsi:type="dcterms:W3CDTF">2025-10-22T11:24:00Z</dcterms:modified>
</cp:coreProperties>
</file>