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8107FB" w:rsidRDefault="00000000">
      <w:pPr>
        <w:spacing w:after="0" w:line="265" w:lineRule="auto"/>
        <w:jc w:val="center"/>
      </w:pPr>
      <w:r>
        <w:rPr>
          <w:b/>
        </w:rPr>
        <w:t xml:space="preserve">UCHWAŁA NR 332/XX/2025 </w:t>
      </w:r>
    </w:p>
    <w:p w:rsidR="008107FB" w:rsidRDefault="00000000">
      <w:pPr>
        <w:spacing w:after="252" w:line="265" w:lineRule="auto"/>
        <w:jc w:val="center"/>
      </w:pPr>
      <w:r>
        <w:rPr>
          <w:b/>
        </w:rPr>
        <w:t xml:space="preserve">RADY MIEJSKIEJ WĘGLIŃCA </w:t>
      </w:r>
    </w:p>
    <w:p w:rsidR="008107FB" w:rsidRDefault="00000000">
      <w:pPr>
        <w:spacing w:after="261" w:line="259" w:lineRule="auto"/>
        <w:ind w:left="0" w:firstLine="0"/>
        <w:jc w:val="center"/>
      </w:pPr>
      <w:r>
        <w:t>z dnia 27 października 2025 r.</w:t>
      </w:r>
      <w:r>
        <w:rPr>
          <w:b/>
        </w:rPr>
        <w:t xml:space="preserve"> </w:t>
      </w:r>
    </w:p>
    <w:p w:rsidR="008107FB" w:rsidRDefault="00000000">
      <w:pPr>
        <w:spacing w:after="452" w:line="265" w:lineRule="auto"/>
        <w:jc w:val="center"/>
      </w:pPr>
      <w:r>
        <w:rPr>
          <w:b/>
        </w:rPr>
        <w:t>w sprawie przekazania petycji według właściwości</w:t>
      </w:r>
      <w:r>
        <w:t xml:space="preserve"> </w:t>
      </w:r>
    </w:p>
    <w:p w:rsidR="008107FB" w:rsidRDefault="00000000">
      <w:pPr>
        <w:ind w:left="5" w:right="5" w:firstLine="227"/>
      </w:pPr>
      <w:r>
        <w:t xml:space="preserve">Na podstawie art. 18 ust. 2 pkt 15 i art. 18b ust. 1 ustawy z dnia 8 marca 1990 r. o samorządzie gminnym (Dz. U. z 2025 r. poz. 1153 z </w:t>
      </w:r>
      <w:proofErr w:type="spellStart"/>
      <w:r>
        <w:t>późn</w:t>
      </w:r>
      <w:proofErr w:type="spellEnd"/>
      <w:r>
        <w:t xml:space="preserve">. zm.), w związku z art. 6 ust. 1, ustawy z dnia 11 lipca 2014 r. o petycjach (Dz. U. z 2018 r. poz. 870), po rozpatrzeniu pisma z dnia 17 września 2025 r., Rada Miejska Węglińca uchwala, co następuje: </w:t>
      </w:r>
    </w:p>
    <w:p w:rsidR="008107FB" w:rsidRDefault="00000000">
      <w:pPr>
        <w:ind w:left="5" w:right="5" w:firstLine="340"/>
      </w:pPr>
      <w:r>
        <w:rPr>
          <w:b/>
        </w:rPr>
        <w:t xml:space="preserve">§ 1. </w:t>
      </w:r>
      <w:r>
        <w:t xml:space="preserve">Po zapoznaniu się z treścią petycji z dnia 17 września 2025 r. oraz stanowiskiem Komisji Skarg, Wniosków i Petycji, Rada Miejska Węglińca uznaje się za niewłaściwą do jej rozpatrzenia z przyczyn określonych w uzasadnieniu i przekazuje petycje organowi wykonawczemu Gminy właściwemu do rozpatrzenia sprawy, tj. Burmistrzowi Gminy i Miasta Węgliniec. </w:t>
      </w:r>
    </w:p>
    <w:p w:rsidR="008107FB" w:rsidRDefault="00000000">
      <w:pPr>
        <w:ind w:left="5" w:right="5" w:firstLine="340"/>
      </w:pPr>
      <w:r>
        <w:rPr>
          <w:b/>
        </w:rPr>
        <w:t xml:space="preserve">§ 2. </w:t>
      </w:r>
      <w:r>
        <w:t xml:space="preserve">Zobowiązuje się Przewodniczącego Rady Miejskiej Węglińca do powiadomienia składającego petycje o sposobie załatwienia sprawy poprzez przesłanie uchwały wraz z uzasadnieniem. </w:t>
      </w:r>
    </w:p>
    <w:p w:rsidR="008107FB" w:rsidRDefault="00000000">
      <w:pPr>
        <w:ind w:left="370" w:right="5"/>
      </w:pPr>
      <w:r>
        <w:rPr>
          <w:b/>
        </w:rPr>
        <w:t xml:space="preserve">§ 3. </w:t>
      </w:r>
      <w:r>
        <w:t xml:space="preserve">Uchwała wchodzi w życie z dniem jej podjęcia. </w:t>
      </w:r>
    </w:p>
    <w:p w:rsidR="008107FB" w:rsidRDefault="00000000">
      <w:pPr>
        <w:spacing w:after="129" w:line="259" w:lineRule="auto"/>
        <w:ind w:left="360" w:firstLine="0"/>
        <w:jc w:val="left"/>
      </w:pPr>
      <w:r>
        <w:t xml:space="preserve"> </w:t>
      </w:r>
    </w:p>
    <w:p w:rsidR="008107FB" w:rsidRDefault="00000000">
      <w:pPr>
        <w:spacing w:after="554" w:line="259" w:lineRule="auto"/>
        <w:ind w:left="20" w:firstLine="0"/>
        <w:jc w:val="left"/>
      </w:pPr>
      <w:r>
        <w:t xml:space="preserve">   </w:t>
      </w:r>
    </w:p>
    <w:p w:rsidR="008107FB" w:rsidRDefault="00000000">
      <w:pPr>
        <w:spacing w:after="0" w:line="259" w:lineRule="auto"/>
        <w:ind w:left="6223"/>
        <w:jc w:val="left"/>
      </w:pPr>
      <w:r>
        <w:t xml:space="preserve">Wiceprzewodniczący Rady </w:t>
      </w:r>
    </w:p>
    <w:p w:rsidR="008107FB" w:rsidRDefault="00000000">
      <w:pPr>
        <w:spacing w:after="10"/>
        <w:ind w:left="6565" w:right="5"/>
      </w:pPr>
      <w:r>
        <w:t xml:space="preserve">Miejskiej Węglińca </w:t>
      </w:r>
    </w:p>
    <w:p w:rsidR="008107FB" w:rsidRDefault="00000000">
      <w:pPr>
        <w:spacing w:after="0" w:line="259" w:lineRule="auto"/>
        <w:ind w:left="4988" w:firstLine="0"/>
        <w:jc w:val="center"/>
      </w:pPr>
      <w:r>
        <w:t xml:space="preserve"> </w:t>
      </w:r>
    </w:p>
    <w:p w:rsidR="008107FB" w:rsidRDefault="00000000">
      <w:pPr>
        <w:spacing w:after="0" w:line="259" w:lineRule="auto"/>
        <w:ind w:left="4988" w:firstLine="0"/>
        <w:jc w:val="center"/>
      </w:pPr>
      <w:r>
        <w:t xml:space="preserve"> </w:t>
      </w:r>
    </w:p>
    <w:p w:rsidR="008107FB" w:rsidRDefault="00000000">
      <w:pPr>
        <w:spacing w:after="541" w:line="259" w:lineRule="auto"/>
        <w:ind w:left="6390" w:firstLine="0"/>
        <w:jc w:val="left"/>
      </w:pPr>
      <w:r>
        <w:rPr>
          <w:b/>
        </w:rPr>
        <w:t>Grzegorz Tyrakowski</w:t>
      </w:r>
      <w:r>
        <w:t xml:space="preserve"> </w:t>
      </w:r>
    </w:p>
    <w:p w:rsidR="008107FB" w:rsidRDefault="00000000">
      <w:pPr>
        <w:spacing w:after="0" w:line="265" w:lineRule="auto"/>
        <w:ind w:right="20"/>
        <w:jc w:val="center"/>
      </w:pPr>
      <w:r>
        <w:rPr>
          <w:b/>
        </w:rPr>
        <w:t>Uzasadnienie</w:t>
      </w:r>
      <w:r>
        <w:t xml:space="preserve"> </w:t>
      </w:r>
    </w:p>
    <w:p w:rsidR="008107FB" w:rsidRDefault="00000000">
      <w:pPr>
        <w:spacing w:after="0"/>
        <w:ind w:left="15" w:right="5"/>
      </w:pPr>
      <w:r>
        <w:t xml:space="preserve"> W dniu 18 września 2025 r. do Biura Rady Miejskiej Węglińca wpłynęło pismo z dnia 17 września 2025 r., złożone w trybie art. 229 Ustawy z dnia 14 czerwca 1960 r. Kodeks postępowania administracyjnego, przez Pana Adama Szulca Prezesa Zarządu Szulc-Euphenics.com p. Spółka Akcyjna. Wskazał, że Urzędy w tym Urząd Gminy i Miasta Węgliniec przywiązuje zbyt małą wagę do analizy zaistniałych incydentów związanych z </w:t>
      </w:r>
      <w:proofErr w:type="spellStart"/>
      <w:r>
        <w:t>cyberbezpieczeństwem</w:t>
      </w:r>
      <w:proofErr w:type="spellEnd"/>
      <w:r>
        <w:t xml:space="preserve"> jakie miały miejsce w innych gminach. Sugeruje konieczność przeprowadzenia szkoleń w tym zakresie. Powołuje się na swoje wieloletnie doświadczenie we współpracy z gminami. </w:t>
      </w:r>
    </w:p>
    <w:p w:rsidR="008107FB" w:rsidRDefault="00000000">
      <w:pPr>
        <w:ind w:left="15" w:right="5"/>
      </w:pPr>
      <w:r>
        <w:t xml:space="preserve">Po dokonaniu wstępnej analizy pisma, Przewodniczący Rady Miejskiej Węglińca, zgodnie z § 104c ust. 2 uchwały Nr 35/VI/03 Rady Gminy i Miasta Węgliniec z dnia 12 marca 2003 r. w sprawie Statutu Gminy i Miasta Węgliniec (Dz. Urz. Woj. </w:t>
      </w:r>
      <w:proofErr w:type="spellStart"/>
      <w:r>
        <w:t>Doln</w:t>
      </w:r>
      <w:proofErr w:type="spellEnd"/>
      <w:r>
        <w:t xml:space="preserve">. z 2003 r. Nr 50, poz. 1178, z </w:t>
      </w:r>
      <w:proofErr w:type="spellStart"/>
      <w:r>
        <w:t>późn</w:t>
      </w:r>
      <w:proofErr w:type="spellEnd"/>
      <w:r>
        <w:t xml:space="preserve">. zm.), zakwalifikował powyższe pismo jako petycję dotyczącą potrzeby zwiększenia nadzoru nad obszarem </w:t>
      </w:r>
      <w:proofErr w:type="spellStart"/>
      <w:r>
        <w:t>cyberbezpieczeństwa</w:t>
      </w:r>
      <w:proofErr w:type="spellEnd"/>
      <w:r>
        <w:t xml:space="preserve"> w jednostkach samorządu terytorialnego oraz przywiązywania większej wagi do analizy incydentów związanych z </w:t>
      </w:r>
      <w:proofErr w:type="spellStart"/>
      <w:r>
        <w:t>cyberbezpieczeństwem</w:t>
      </w:r>
      <w:proofErr w:type="spellEnd"/>
      <w:r>
        <w:t xml:space="preserve">, jakie miały miejsce w innych gminach. Pan Adam Szulc zamiennie w treści pisma posługuje się pojęciami skarga, wniosek i petycja. Pismo Pana Adama Szulca nie mogło zostać zakwalifikowane jako skarga bowiem zgodnie z art. 227 Kodeksu postępowania administracyjnego (KPA), przedmiotem skargi może być w szczególności: </w:t>
      </w:r>
    </w:p>
    <w:p w:rsidR="008107FB" w:rsidRDefault="00000000">
      <w:pPr>
        <w:spacing w:after="1276" w:line="351" w:lineRule="auto"/>
        <w:ind w:left="144" w:right="1177"/>
      </w:pPr>
      <w:r>
        <w:t xml:space="preserve">- zaniedbanie lub nienależyte wykonywanie zadań przez właściwe organy lub ich pracowników, - naruszenie praworządności lub interesów skarżących, </w:t>
      </w:r>
    </w:p>
    <w:p w:rsidR="008107FB" w:rsidRDefault="00000000">
      <w:pPr>
        <w:pStyle w:val="Nagwek1"/>
        <w:ind w:left="-5" w:right="-15"/>
      </w:pPr>
      <w:r>
        <w:lastRenderedPageBreak/>
        <w:t>–––––––––––––––––––––––––––––––––––––––––––––––––––––––––––––––––––––––––––––––––––</w:t>
      </w:r>
    </w:p>
    <w:p w:rsidR="008107FB" w:rsidRDefault="00000000">
      <w:pPr>
        <w:tabs>
          <w:tab w:val="right" w:pos="9906"/>
        </w:tabs>
        <w:spacing w:after="131" w:line="259" w:lineRule="auto"/>
        <w:ind w:left="-15" w:right="-15" w:firstLine="0"/>
        <w:jc w:val="left"/>
      </w:pPr>
      <w:r>
        <w:rPr>
          <w:sz w:val="18"/>
        </w:rPr>
        <w:t>Id: 6FC6DE28-8375-4830-AD5F-41258D8D28D7. Podpisany</w:t>
      </w:r>
      <w:r>
        <w:rPr>
          <w:sz w:val="18"/>
        </w:rPr>
        <w:tab/>
        <w:t>Strona 1</w:t>
      </w:r>
    </w:p>
    <w:p w:rsidR="008107FB" w:rsidRDefault="00000000">
      <w:pPr>
        <w:numPr>
          <w:ilvl w:val="0"/>
          <w:numId w:val="1"/>
        </w:numPr>
        <w:spacing w:after="10"/>
        <w:ind w:right="5" w:hanging="128"/>
      </w:pPr>
      <w:r>
        <w:t xml:space="preserve">przewlekłe lub biurokratyczne załatwianie spraw. </w:t>
      </w:r>
      <w:r>
        <w:tab/>
        <w:t xml:space="preserve"> </w:t>
      </w:r>
      <w:r>
        <w:tab/>
        <w:t xml:space="preserve"> </w:t>
      </w:r>
      <w:r>
        <w:tab/>
        <w:t xml:space="preserve"> </w:t>
      </w:r>
      <w:r>
        <w:tab/>
        <w:t xml:space="preserve"> </w:t>
      </w:r>
      <w:r>
        <w:tab/>
        <w:t xml:space="preserve"> </w:t>
      </w:r>
      <w:r>
        <w:tab/>
        <w:t xml:space="preserve"> </w:t>
      </w:r>
    </w:p>
    <w:p w:rsidR="008107FB" w:rsidRDefault="00000000">
      <w:pPr>
        <w:ind w:left="257" w:right="5"/>
      </w:pPr>
      <w:r>
        <w:t xml:space="preserve"> W przedmiotowym piśmie brakuje wskazania konkretnych uchybień po stronie Burmistrza Gminy i Miasta Węgliniec. Autor pisma nie przedstawia konkretnych przykładów zaniedbań organu, lecz opiera swoje twierdzenia na ogólnej analogii do działań innych urzędów (</w:t>
      </w:r>
      <w:r>
        <w:rPr>
          <w:i/>
        </w:rPr>
        <w:t>per analogiam</w:t>
      </w:r>
      <w:r>
        <w:t xml:space="preserve">), co nie spełnia przesłanek określonych w art. 227 KPA. Warto zauważyć, że nie zarzuca organowi ani jego pracownikom konkretnego działania lub zaniechania, które mogłoby zostać uznane za naruszenie prawa lub interesów skarżącego. Zamiast tego, pismo zawiera ogólną ocenę podejścia Urzędu Gminy i Miasta Węgliniec do kwestii </w:t>
      </w:r>
      <w:proofErr w:type="spellStart"/>
      <w:r>
        <w:t>cyberbezpieczeństwa</w:t>
      </w:r>
      <w:proofErr w:type="spellEnd"/>
      <w:r>
        <w:t xml:space="preserve"> i wskazuje, że - zdaniem autora - urząd nie przykłada wystarczającej wagi do analizowania incydentów </w:t>
      </w:r>
      <w:proofErr w:type="spellStart"/>
      <w:r>
        <w:t>cyberbezpieczeństwa</w:t>
      </w:r>
      <w:proofErr w:type="spellEnd"/>
      <w:r>
        <w:t xml:space="preserve">, które wystąpiły w innych gminach.  Tego rodzaju wypowiedź nie spełnia przesłanek uznania pisma za skargę w rozumieniu art. 227 KPA. Natomiast zgodnie z art. 2 ust. 3 ustawy z dnia 11 lipca 2014 r. o petycjach (Dz. U. z 2018 r. poz. 870), przedmiotem petycji może być żądanie: </w:t>
      </w:r>
    </w:p>
    <w:p w:rsidR="008107FB" w:rsidRDefault="00000000">
      <w:pPr>
        <w:numPr>
          <w:ilvl w:val="0"/>
          <w:numId w:val="1"/>
        </w:numPr>
        <w:ind w:right="5" w:hanging="128"/>
      </w:pPr>
      <w:r>
        <w:t xml:space="preserve">zmiany przepisów prawa, </w:t>
      </w:r>
    </w:p>
    <w:p w:rsidR="008107FB" w:rsidRDefault="00000000">
      <w:pPr>
        <w:numPr>
          <w:ilvl w:val="0"/>
          <w:numId w:val="1"/>
        </w:numPr>
        <w:spacing w:after="98" w:line="259" w:lineRule="auto"/>
        <w:ind w:right="5" w:hanging="128"/>
      </w:pPr>
      <w:r>
        <w:t xml:space="preserve">podjęcia rozstrzygnięcia, </w:t>
      </w:r>
    </w:p>
    <w:p w:rsidR="008107FB" w:rsidRDefault="00000000">
      <w:pPr>
        <w:numPr>
          <w:ilvl w:val="0"/>
          <w:numId w:val="1"/>
        </w:numPr>
        <w:spacing w:after="0"/>
        <w:ind w:right="5" w:hanging="128"/>
      </w:pPr>
      <w:r>
        <w:t xml:space="preserve">innego działania w sprawie dotyczącej podmiotu wnoszącego petycję, życia zbiorowego lub wartości wymagających szczególnej ochrony w imię dobra wspólnego.  </w:t>
      </w:r>
    </w:p>
    <w:p w:rsidR="008107FB" w:rsidRDefault="00000000">
      <w:pPr>
        <w:spacing w:after="0" w:line="259" w:lineRule="auto"/>
        <w:ind w:left="247" w:firstLine="0"/>
        <w:jc w:val="left"/>
      </w:pPr>
      <w:r>
        <w:t xml:space="preserve"> </w:t>
      </w:r>
    </w:p>
    <w:p w:rsidR="008107FB" w:rsidRDefault="00000000">
      <w:pPr>
        <w:spacing w:after="4026"/>
        <w:ind w:left="257" w:right="5"/>
      </w:pPr>
      <w:r>
        <w:t xml:space="preserve">Z uwagi na brak zarzutów wskazujących na nienależyte wykonywanie zadań przez organ oraz ogólny charakter postulatu dotyczącego zwiększenia zaangażowania w analizę zagadnień związanych z </w:t>
      </w:r>
      <w:proofErr w:type="spellStart"/>
      <w:r>
        <w:t>cyberbezpieczeństwem</w:t>
      </w:r>
      <w:proofErr w:type="spellEnd"/>
      <w:r>
        <w:t>, pismo należy zakwalifikować jako petycję, a nie jako skargę. Ustawa z dnia 11 lipca 2014 r. o petycjach (</w:t>
      </w:r>
      <w:proofErr w:type="spellStart"/>
      <w:r>
        <w:t>t.j</w:t>
      </w:r>
      <w:proofErr w:type="spellEnd"/>
      <w:r>
        <w:t>. Dz. U. z 2018 r. poz. 870) określa zasady składania i rozpatrywania petycji oraz sposób postępowania organów w sprawach dotyczących petycji. Jednocześnie ustawodawca w art. 18b ust. 1 ustawy z dnia 8 marca 1990 r. o samorządzie gminnym (</w:t>
      </w:r>
      <w:proofErr w:type="spellStart"/>
      <w:r>
        <w:t>t.j</w:t>
      </w:r>
      <w:proofErr w:type="spellEnd"/>
      <w:r>
        <w:t xml:space="preserve">. Dz. U. z 2025 r. poz. 1153 ze </w:t>
      </w:r>
      <w:proofErr w:type="spellStart"/>
      <w:r>
        <w:t>zm</w:t>
      </w:r>
      <w:proofErr w:type="spellEnd"/>
      <w:r>
        <w:t xml:space="preserve">) zdecydował, że organem wewnętrznym Rady uprawnionym do rozpatrzenia petycji i przygotowania propozycji stanowiska w sprawie jest Komisja Skarg, Wniosków i Petycji Rady Miejskiej. Petycja została przekazana do rozpatrzenia przez Komisję Skarg Wniosków i Petycji. Po analizie treści Komisja Skarg Wniosków i Petycji na posiedzeniu w dniu 15 października 2025 r. stwierdziła, że poruszona problematyka dotyczy wewnętrznej organizacji pracy Urzędu Gminy i Miasta Węgliniec, w szczególności w zakresie zarządzania ryzykiem związanym z </w:t>
      </w:r>
      <w:proofErr w:type="spellStart"/>
      <w:r>
        <w:t>cyberbezpieczeństwem</w:t>
      </w:r>
      <w:proofErr w:type="spellEnd"/>
      <w:r>
        <w:t xml:space="preserve">, zapewnienia bezpieczeństwa systemów informatycznych oraz ochrony danych, co mieści się w kompetencjach Burmistrza Gminy i Miasta Węgliniec jako kierownika urzędu (zgodnie z art. 33 ust. 3 ustawy o samorządzie gminnym). Rada Miejska Węglińca, do której pierwotnie zostało skierowane pismo, nie jest właściwa do rozpatrzenia sprawy. W ocenie Komisji, przedmiot petycji nie zawiera konkretnych propozycji rozwiązań możliwych do wdrożenia w ramach kompetencji Rady Miejskiej. Zgodnie z treścią petycji oraz zakresem kompetencji organów administracji publicznej, właściwym do rozpatrzenia w/w petycji jest Burmistrz Gminy i Miasta Węgliniec. Rada Miejska Węglińca jako organ stanowiący i kontrolny, nie posiada kompetencji do podejmowania działań wykonawczych ani ingerencji w strukturę organizacyjną Urzędu. Urząd odpowiada za wdrożenie procedur, szkolenia pracowników oraz zgłaszanie incydentów związanych z </w:t>
      </w:r>
      <w:proofErr w:type="spellStart"/>
      <w:r>
        <w:t>cyberbezpieczeństwem</w:t>
      </w:r>
      <w:proofErr w:type="spellEnd"/>
      <w:r>
        <w:t xml:space="preserve">. Zgodnie z zapisami art. 6 ust. 1 ustawy z dnia 11 lipca 2004 r. o petycjach (Dz. U. z 2018 r. poz. 870) Rada Miejska Węglińca uznaje za </w:t>
      </w:r>
      <w:r>
        <w:rPr>
          <w:b/>
        </w:rPr>
        <w:t>zasadne/niezasadne</w:t>
      </w:r>
      <w:r>
        <w:t xml:space="preserve"> przekazanie w/w petycji według właściwości do Burmistrza Gminy i Miasta Węgliniec. </w:t>
      </w:r>
    </w:p>
    <w:p w:rsidR="008107FB" w:rsidRDefault="00000000">
      <w:pPr>
        <w:pStyle w:val="Nagwek1"/>
        <w:ind w:left="-5" w:right="-15"/>
      </w:pPr>
      <w:r>
        <w:lastRenderedPageBreak/>
        <w:t>–––––––––––––––––––––––––––––––––––––––––––––––––––––––––––––––––––––––––––––––––––</w:t>
      </w:r>
    </w:p>
    <w:p w:rsidR="008107FB" w:rsidRDefault="00000000">
      <w:pPr>
        <w:tabs>
          <w:tab w:val="right" w:pos="9906"/>
        </w:tabs>
        <w:spacing w:after="131" w:line="259" w:lineRule="auto"/>
        <w:ind w:left="-15" w:right="-15" w:firstLine="0"/>
        <w:jc w:val="left"/>
      </w:pPr>
      <w:r>
        <w:rPr>
          <w:sz w:val="18"/>
        </w:rPr>
        <w:t>Id: 6FC6DE28-8375-4830-AD5F-41258D8D28D7. Podpisany</w:t>
      </w:r>
      <w:r>
        <w:rPr>
          <w:sz w:val="18"/>
        </w:rPr>
        <w:tab/>
        <w:t>Strona 2</w:t>
      </w:r>
    </w:p>
    <w:sectPr w:rsidR="008107FB">
      <w:pgSz w:w="11906" w:h="16838"/>
      <w:pgMar w:top="1470" w:right="1000" w:bottom="262" w:left="10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D354AAA"/>
    <w:multiLevelType w:val="hybridMultilevel"/>
    <w:tmpl w:val="E9F2725A"/>
    <w:lvl w:ilvl="0" w:tplc="5658D422">
      <w:start w:val="1"/>
      <w:numFmt w:val="bullet"/>
      <w:lvlText w:val="-"/>
      <w:lvlJc w:val="left"/>
      <w:pPr>
        <w:ind w:left="2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93AA85EA">
      <w:start w:val="1"/>
      <w:numFmt w:val="bullet"/>
      <w:lvlText w:val="o"/>
      <w:lvlJc w:val="left"/>
      <w:pPr>
        <w:ind w:left="12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36AF110">
      <w:start w:val="1"/>
      <w:numFmt w:val="bullet"/>
      <w:lvlText w:val="▪"/>
      <w:lvlJc w:val="left"/>
      <w:pPr>
        <w:ind w:left="19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79983422">
      <w:start w:val="1"/>
      <w:numFmt w:val="bullet"/>
      <w:lvlText w:val="•"/>
      <w:lvlJc w:val="left"/>
      <w:pPr>
        <w:ind w:left="26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E368F34">
      <w:start w:val="1"/>
      <w:numFmt w:val="bullet"/>
      <w:lvlText w:val="o"/>
      <w:lvlJc w:val="left"/>
      <w:pPr>
        <w:ind w:left="337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3928226A">
      <w:start w:val="1"/>
      <w:numFmt w:val="bullet"/>
      <w:lvlText w:val="▪"/>
      <w:lvlJc w:val="left"/>
      <w:pPr>
        <w:ind w:left="40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BD529426">
      <w:start w:val="1"/>
      <w:numFmt w:val="bullet"/>
      <w:lvlText w:val="•"/>
      <w:lvlJc w:val="left"/>
      <w:pPr>
        <w:ind w:left="481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2BC2D44">
      <w:start w:val="1"/>
      <w:numFmt w:val="bullet"/>
      <w:lvlText w:val="o"/>
      <w:lvlJc w:val="left"/>
      <w:pPr>
        <w:ind w:left="553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0494E2BE">
      <w:start w:val="1"/>
      <w:numFmt w:val="bullet"/>
      <w:lvlText w:val="▪"/>
      <w:lvlJc w:val="left"/>
      <w:pPr>
        <w:ind w:left="625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1193417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07FB"/>
    <w:rsid w:val="004D6B22"/>
    <w:rsid w:val="005057AE"/>
    <w:rsid w:val="008107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586661B-46CC-4CED-A0A8-7F1FE4911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109" w:line="249" w:lineRule="auto"/>
      <w:ind w:left="10" w:hanging="10"/>
      <w:jc w:val="both"/>
    </w:pPr>
    <w:rPr>
      <w:rFonts w:ascii="Times New Roman" w:eastAsia="Times New Roman" w:hAnsi="Times New Roman" w:cs="Times New Roman"/>
      <w:color w:val="000000"/>
      <w:sz w:val="22"/>
    </w:rPr>
  </w:style>
  <w:style w:type="paragraph" w:styleId="Nagwek1">
    <w:name w:val="heading 1"/>
    <w:next w:val="Normalny"/>
    <w:link w:val="Nagwek1Znak"/>
    <w:uiPriority w:val="9"/>
    <w:qFormat/>
    <w:pPr>
      <w:keepNext/>
      <w:keepLines/>
      <w:spacing w:after="0" w:line="259" w:lineRule="auto"/>
      <w:ind w:left="10" w:hanging="10"/>
      <w:outlineLvl w:val="0"/>
    </w:pPr>
    <w:rPr>
      <w:rFonts w:ascii="Times New Roman" w:eastAsia="Times New Roman" w:hAnsi="Times New Roman" w:cs="Times New Roman"/>
      <w:color w:val="00000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Pr>
      <w:rFonts w:ascii="Times New Roman" w:eastAsia="Times New Roman" w:hAnsi="Times New Roman" w:cs="Times New Roman"/>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947</Words>
  <Characters>5685</Characters>
  <Application>Microsoft Office Word</Application>
  <DocSecurity>0</DocSecurity>
  <Lines>47</Lines>
  <Paragraphs>13</Paragraphs>
  <ScaleCrop>false</ScaleCrop>
  <Company/>
  <LinksUpToDate>false</LinksUpToDate>
  <CharactersWithSpaces>6619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332/XX/2025 Rady Miejskiej Węglińca z dnia 27 października 2025 r. w sprawie przekazania petycji według właściwości</dc:title>
  <dc:subject>Uchwała nr 332/XX/2025 z dnia 27 października 2025 r. Rady Miejskiej Węglińca w sprawie przekazania petycji według właściwości</dc:subject>
  <dc:creator>Rada Miejska Weglinca</dc:creator>
  <cp:keywords/>
  <cp:lastModifiedBy>Tatiana</cp:lastModifiedBy>
  <cp:revision>2</cp:revision>
  <dcterms:created xsi:type="dcterms:W3CDTF">2025-11-13T06:44:00Z</dcterms:created>
  <dcterms:modified xsi:type="dcterms:W3CDTF">2025-11-13T06:44:00Z</dcterms:modified>
</cp:coreProperties>
</file>