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F731CF" w:rsidRDefault="00000000">
      <w:pPr>
        <w:spacing w:after="0" w:line="259" w:lineRule="auto"/>
        <w:jc w:val="center"/>
      </w:pPr>
      <w:r>
        <w:rPr>
          <w:b/>
        </w:rPr>
        <w:t xml:space="preserve">UCHWAŁA NR 352/XXII/2025 </w:t>
      </w:r>
    </w:p>
    <w:p w:rsidR="00F731CF" w:rsidRDefault="00000000">
      <w:pPr>
        <w:spacing w:after="258" w:line="259" w:lineRule="auto"/>
        <w:jc w:val="center"/>
      </w:pPr>
      <w:r>
        <w:rPr>
          <w:b/>
        </w:rPr>
        <w:t xml:space="preserve">RADY MIEJSKIEJ WĘGLIŃCA </w:t>
      </w:r>
    </w:p>
    <w:p w:rsidR="00F731CF" w:rsidRDefault="00000000">
      <w:pPr>
        <w:spacing w:after="258" w:line="259" w:lineRule="auto"/>
        <w:ind w:left="0" w:firstLine="0"/>
        <w:jc w:val="center"/>
      </w:pPr>
      <w:r>
        <w:t>z dnia 18 grudnia 2025 r.</w:t>
      </w:r>
      <w:r>
        <w:rPr>
          <w:b/>
        </w:rPr>
        <w:t xml:space="preserve"> </w:t>
      </w:r>
    </w:p>
    <w:p w:rsidR="00F731CF" w:rsidRDefault="00000000">
      <w:pPr>
        <w:pStyle w:val="Nagwek1"/>
        <w:spacing w:after="476" w:line="241" w:lineRule="auto"/>
        <w:ind w:left="2652" w:right="992" w:hanging="1327"/>
      </w:pPr>
      <w:r>
        <w:rPr>
          <w:b/>
          <w:sz w:val="22"/>
        </w:rPr>
        <w:t>w sprawie uchwalenia miejscowego planu zagospodarowania przestrzennego dla części obrębu geodezyjnego Czerwona Woda</w:t>
      </w:r>
      <w:r>
        <w:rPr>
          <w:sz w:val="22"/>
        </w:rPr>
        <w:t xml:space="preserve"> </w:t>
      </w:r>
    </w:p>
    <w:p w:rsidR="00F731CF" w:rsidRDefault="00000000">
      <w:pPr>
        <w:spacing w:after="274"/>
        <w:ind w:left="0" w:firstLine="227"/>
      </w:pPr>
      <w:r>
        <w:t xml:space="preserve">Na podstawie art. 18 ust. 2 pkt. 5 ustawy z dnia 8 marca 1990 r. o samorządzie gminnym (tekst jednolity Dz. U. z 2025 r. poz. 1153), art. 3 ust 1 i 20 ust. 1 ustawy z dnia 27 marca 2003 r. o planowaniu i zagospodarowaniu przestrzennym (tekst jednolity Dz. U. z 2024 r., poz. 1130, ze zm.) w związku z uchwałą nr 1299/LXXV/24 Rady Miejskiej Węglińca z dnia 21 marca 2024 r. w sprawie przystąpienia do sporządzenia miejscowego planu zagospodarowania przestrzennego dla części obrębu geodezyjnego Czerwona Woda i w związku z art. 67 ust 3 pkt 2 lit a ustawy z dnia 7 lipca 2023 r. o zmianie ustawy o planowaniu i zagospodarowaniu przestrzennym oraz niektórych innych ustaw (Dz. U. z 2023 r., poz. 1688), Rada Miejska Węglińca uchwala, co następuje: </w:t>
      </w:r>
    </w:p>
    <w:p w:rsidR="00F731CF" w:rsidRDefault="00000000">
      <w:pPr>
        <w:spacing w:after="258" w:line="259" w:lineRule="auto"/>
        <w:ind w:left="237"/>
        <w:jc w:val="center"/>
      </w:pPr>
      <w:r>
        <w:rPr>
          <w:b/>
        </w:rPr>
        <w:t>Rozdział 1.</w:t>
      </w:r>
      <w:r>
        <w:t xml:space="preserve"> </w:t>
      </w:r>
    </w:p>
    <w:p w:rsidR="00F731CF" w:rsidRDefault="00000000">
      <w:pPr>
        <w:ind w:left="0" w:firstLine="340"/>
      </w:pPr>
      <w:r>
        <w:rPr>
          <w:b/>
        </w:rPr>
        <w:t xml:space="preserve">§ 1. </w:t>
      </w:r>
      <w:r>
        <w:t xml:space="preserve">1. Uchwala się miejscowy plan zagospodarowania przestrzennego dla części obrębu geodezyjnego Czerwona Woda, zwany dalej planem miejscowym. </w:t>
      </w:r>
    </w:p>
    <w:p w:rsidR="00F731CF" w:rsidRDefault="00000000">
      <w:pPr>
        <w:spacing w:after="109"/>
        <w:ind w:left="350"/>
        <w:jc w:val="left"/>
      </w:pPr>
      <w:r>
        <w:t xml:space="preserve">2. Załącznikami do niniejszej uchwały są: </w:t>
      </w:r>
    </w:p>
    <w:p w:rsidR="00F731CF" w:rsidRDefault="00000000">
      <w:pPr>
        <w:numPr>
          <w:ilvl w:val="0"/>
          <w:numId w:val="1"/>
        </w:numPr>
        <w:ind w:hanging="227"/>
      </w:pPr>
      <w:r>
        <w:t xml:space="preserve">część graficzna planu miejscowego w skali 1: 1000, zwana dalej rysunkiem planu, stanowiąca załącznik nr 1 do uchwały; </w:t>
      </w:r>
    </w:p>
    <w:p w:rsidR="00F731CF" w:rsidRDefault="00000000">
      <w:pPr>
        <w:numPr>
          <w:ilvl w:val="0"/>
          <w:numId w:val="1"/>
        </w:numPr>
        <w:spacing w:after="137"/>
        <w:ind w:hanging="227"/>
      </w:pPr>
      <w:r>
        <w:t xml:space="preserve">rozstrzygnięcie o sposobie realizacji, zapisanych w planie inwestycji z zakresu infrastruktury technicznej, które należą do zadań własnych gminy oraz o zasadach ich finansowania, zgodnie z przepisami o finansach publicznych, stanowiące załącznik nr 2 do uchwały; </w:t>
      </w:r>
    </w:p>
    <w:p w:rsidR="00F731CF" w:rsidRDefault="00000000">
      <w:pPr>
        <w:numPr>
          <w:ilvl w:val="0"/>
          <w:numId w:val="1"/>
        </w:numPr>
        <w:ind w:hanging="227"/>
      </w:pPr>
      <w:r>
        <w:t xml:space="preserve">dane </w:t>
      </w:r>
      <w:r>
        <w:tab/>
        <w:t xml:space="preserve">przestrzenne, </w:t>
      </w:r>
      <w:r>
        <w:tab/>
        <w:t xml:space="preserve">o których </w:t>
      </w:r>
      <w:r>
        <w:tab/>
        <w:t xml:space="preserve">mowa </w:t>
      </w:r>
      <w:r>
        <w:tab/>
        <w:t xml:space="preserve">w art. 67a </w:t>
      </w:r>
      <w:r>
        <w:tab/>
        <w:t xml:space="preserve">ust. 2 ustawy </w:t>
      </w:r>
      <w:r>
        <w:tab/>
        <w:t xml:space="preserve">z dnia </w:t>
      </w:r>
      <w:r>
        <w:tab/>
        <w:t xml:space="preserve">27 marca </w:t>
      </w:r>
      <w:r>
        <w:tab/>
        <w:t xml:space="preserve">2003 roku                   o planowaniu i zagospodarowaniu przestrzennym, stanowiące załącznik nr 3 do uchwały. </w:t>
      </w:r>
    </w:p>
    <w:p w:rsidR="00F731CF" w:rsidRDefault="00000000">
      <w:pPr>
        <w:ind w:left="350"/>
      </w:pPr>
      <w:r>
        <w:rPr>
          <w:b/>
        </w:rPr>
        <w:t xml:space="preserve">§ 2. </w:t>
      </w:r>
      <w:r>
        <w:t xml:space="preserve">Granicę obszaru objętego planem miejscowym określono na rysunku planu w skali 1: 1000. </w:t>
      </w:r>
    </w:p>
    <w:p w:rsidR="00F731CF" w:rsidRDefault="00000000">
      <w:pPr>
        <w:ind w:left="0" w:firstLine="340"/>
      </w:pPr>
      <w:r>
        <w:rPr>
          <w:b/>
        </w:rPr>
        <w:t xml:space="preserve">§ 3. </w:t>
      </w:r>
      <w:r>
        <w:t xml:space="preserve">1. Obowiązującymi ustaleniami planu miejscowego są następujące oznaczenia graficzne rysunku planu miejscowego: </w:t>
      </w:r>
    </w:p>
    <w:p w:rsidR="00F731CF" w:rsidRDefault="00000000">
      <w:pPr>
        <w:numPr>
          <w:ilvl w:val="0"/>
          <w:numId w:val="2"/>
        </w:numPr>
        <w:ind w:hanging="238"/>
      </w:pPr>
      <w:r>
        <w:t xml:space="preserve">granica obszaru objętego planem miejscowym; </w:t>
      </w:r>
    </w:p>
    <w:p w:rsidR="00F731CF" w:rsidRDefault="00000000">
      <w:pPr>
        <w:numPr>
          <w:ilvl w:val="0"/>
          <w:numId w:val="2"/>
        </w:numPr>
        <w:spacing w:after="40" w:line="314" w:lineRule="auto"/>
        <w:ind w:hanging="238"/>
      </w:pPr>
      <w:r>
        <w:t xml:space="preserve">linie rozgraniczające tereny o różnym przeznaczeniu lub różnych zasadach zagospodarowania, wraz z oznaczeniami określającymi przeznaczenie terenów; 3) nieprzekraczalne linie zabudowy; 4) wymiary w metrach. </w:t>
      </w:r>
    </w:p>
    <w:p w:rsidR="00F731CF" w:rsidRDefault="00000000">
      <w:pPr>
        <w:numPr>
          <w:ilvl w:val="1"/>
          <w:numId w:val="2"/>
        </w:numPr>
        <w:ind w:firstLine="340"/>
      </w:pPr>
      <w:r>
        <w:t xml:space="preserve">Pozostałe oznaczenia graficzne rysunku planu mają znaczenie informacyjne i nie stanowią obowiązujących ustaleń planu miejscowego. </w:t>
      </w:r>
    </w:p>
    <w:p w:rsidR="00F731CF" w:rsidRDefault="00000000">
      <w:pPr>
        <w:numPr>
          <w:ilvl w:val="1"/>
          <w:numId w:val="2"/>
        </w:numPr>
        <w:ind w:firstLine="340"/>
      </w:pPr>
      <w:r>
        <w:t xml:space="preserve">Wymiary linii zabudowy określa się w miejscu wskazania na rysunku planu. </w:t>
      </w:r>
    </w:p>
    <w:p w:rsidR="00F731CF" w:rsidRDefault="00000000">
      <w:pPr>
        <w:ind w:left="350"/>
      </w:pPr>
      <w:r>
        <w:rPr>
          <w:b/>
        </w:rPr>
        <w:t xml:space="preserve">§ 4. </w:t>
      </w:r>
      <w:r>
        <w:t xml:space="preserve">Ilekroć w niniejszej uchwale jest mowa o: </w:t>
      </w:r>
    </w:p>
    <w:p w:rsidR="00F731CF" w:rsidRDefault="00000000">
      <w:pPr>
        <w:numPr>
          <w:ilvl w:val="0"/>
          <w:numId w:val="3"/>
        </w:numPr>
        <w:ind w:hanging="227"/>
      </w:pPr>
      <w:r>
        <w:t xml:space="preserve">przeznaczeniu podstawowym - należy przez to rozumieć takie przeznaczenie, które przeważa na terenie wydzielonym liniami rozgraniczającymi tzn. zajmuje więcej niż 50 % powierzchni działki lub obszaru objętego inwestycją; </w:t>
      </w:r>
    </w:p>
    <w:p w:rsidR="00F731CF" w:rsidRDefault="00000000">
      <w:pPr>
        <w:numPr>
          <w:ilvl w:val="0"/>
          <w:numId w:val="3"/>
        </w:numPr>
        <w:ind w:hanging="227"/>
      </w:pPr>
      <w:r>
        <w:t xml:space="preserve">przeznaczeniu uzupełniającym - należy przez to rozumieć rodzaje przeznaczenia inne niż podstawowe, które stanowią uzupełnienie lub wzbogacają funkcję podstawową, jednocześnie nie kolidując z nią lub nie wykluczając możliwości zagospodarowania terenu w sposób określony przeznaczeniem podstawowym; </w:t>
      </w:r>
    </w:p>
    <w:p w:rsidR="00F731CF" w:rsidRDefault="00000000">
      <w:pPr>
        <w:numPr>
          <w:ilvl w:val="0"/>
          <w:numId w:val="3"/>
        </w:numPr>
        <w:ind w:hanging="227"/>
      </w:pPr>
      <w:r>
        <w:t xml:space="preserve">liniach rozgraniczających - należy przez to rozumieć linie rozdzielające tereny o różnym przeznaczeniu lub różnych zasadach zagospodarowania o ściśle określonych granicach; </w:t>
      </w:r>
    </w:p>
    <w:p w:rsidR="00F731CF" w:rsidRDefault="00000000">
      <w:pPr>
        <w:numPr>
          <w:ilvl w:val="0"/>
          <w:numId w:val="3"/>
        </w:numPr>
        <w:ind w:hanging="227"/>
      </w:pPr>
      <w:r>
        <w:lastRenderedPageBreak/>
        <w:t xml:space="preserve">nieprzekraczalnych liniach zabudowy - należy przez to rozumieć linie wyznaczające dopuszczalne zbliżenie ściany budynku do wskazanej linii rozgraniczającej terenu; regulacji tej nie podlegają: zadaszenia nad wejściami do budynków, balkony, wykusze, loggie, gzymsy i okapy nie przekraczające tej linii o więcej niż 1,5 m oraz tarasy bez podpiwniczenia, rampy i podesty, części podziemne obiektów budowlanych oraz infrastruktura techniczna, w tym obiekty kontenerowe. </w:t>
      </w:r>
    </w:p>
    <w:p w:rsidR="00F731CF" w:rsidRDefault="00000000">
      <w:pPr>
        <w:numPr>
          <w:ilvl w:val="0"/>
          <w:numId w:val="3"/>
        </w:numPr>
        <w:ind w:hanging="227"/>
      </w:pPr>
      <w:r>
        <w:t xml:space="preserve">dystrybucyjnej infrastrukturze technicznej – należy przez to rozumieć ogół podziemnych i nadziemnych dystrybucyjnych urządzeń liniowych i kubaturowych służących: zaopatrzeniu w wodę, odprowadzeniu ścieków i wód opadowych, zaopatrzeniu w energię elektryczną, gaz i ciepło oraz łączności i telekomunikacji. </w:t>
      </w:r>
    </w:p>
    <w:p w:rsidR="00F731CF" w:rsidRDefault="00000000">
      <w:pPr>
        <w:spacing w:after="0" w:line="259" w:lineRule="auto"/>
        <w:ind w:left="237" w:right="227"/>
        <w:jc w:val="center"/>
      </w:pPr>
      <w:r>
        <w:rPr>
          <w:b/>
        </w:rPr>
        <w:t>Rozdział 2.</w:t>
      </w:r>
      <w:r>
        <w:t xml:space="preserve"> </w:t>
      </w:r>
    </w:p>
    <w:p w:rsidR="00F731CF" w:rsidRDefault="00000000">
      <w:pPr>
        <w:spacing w:after="0" w:line="351" w:lineRule="auto"/>
        <w:ind w:left="340" w:right="3995" w:firstLine="3820"/>
      </w:pPr>
      <w:r>
        <w:rPr>
          <w:b/>
        </w:rPr>
        <w:t>Ustalenia ogólne</w:t>
      </w:r>
      <w:r>
        <w:t xml:space="preserve"> </w:t>
      </w:r>
      <w:r>
        <w:rPr>
          <w:b/>
        </w:rPr>
        <w:t xml:space="preserve">§ 5. </w:t>
      </w:r>
      <w:r>
        <w:t xml:space="preserve">1. Ustala się następujące kategorie przeznaczenia: </w:t>
      </w:r>
    </w:p>
    <w:p w:rsidR="00F731CF" w:rsidRDefault="00000000">
      <w:pPr>
        <w:numPr>
          <w:ilvl w:val="0"/>
          <w:numId w:val="4"/>
        </w:numPr>
        <w:ind w:right="1550" w:hanging="238"/>
      </w:pPr>
      <w:r>
        <w:t xml:space="preserve">teren elektrowni słonecznej - oznaczony symbolem PEF; </w:t>
      </w:r>
    </w:p>
    <w:p w:rsidR="00F731CF" w:rsidRDefault="00000000">
      <w:pPr>
        <w:numPr>
          <w:ilvl w:val="0"/>
          <w:numId w:val="4"/>
        </w:numPr>
        <w:spacing w:after="0" w:line="351" w:lineRule="auto"/>
        <w:ind w:right="1550" w:hanging="238"/>
      </w:pPr>
      <w:r>
        <w:t xml:space="preserve">teren komunikacji drogowej wewnętrznej - oznaczony symbolem KR; 3) teren lasu - oznaczony symbolem L. </w:t>
      </w:r>
    </w:p>
    <w:p w:rsidR="00F731CF" w:rsidRDefault="00000000">
      <w:pPr>
        <w:numPr>
          <w:ilvl w:val="1"/>
          <w:numId w:val="4"/>
        </w:numPr>
        <w:ind w:firstLine="340"/>
      </w:pPr>
      <w:r>
        <w:t xml:space="preserve">W ramach przeznaczenia podstawowego lub uzupełniającego dopuszcza się realizację obiektów technicznego wyposażenia, dojazdów i dojść, parkingów, wiat i zadaszeń oraz innych urządzeń, w tym technologicznych (w tym na terenach elektrowni słonecznej 1PEF i 2PEF: stacje transformatorowe, magazyny energii, maszty odgromowe i antenowe i inne instalacje związane z przeznaczeniem podstawowym) pełniących służebną rolę wobec funkcji określonych w przeznaczeniu podstawowym lub uzupełniającym. </w:t>
      </w:r>
    </w:p>
    <w:p w:rsidR="00F731CF" w:rsidRDefault="00000000">
      <w:pPr>
        <w:numPr>
          <w:ilvl w:val="1"/>
          <w:numId w:val="4"/>
        </w:numPr>
        <w:ind w:firstLine="340"/>
      </w:pPr>
      <w:r>
        <w:t xml:space="preserve">W granicach obszaru objętego planem miejscowym dopuszcza się lokalizację inwestycji celu publicznego z zakresu łączności publicznej zgodnie z przepisami odrębnymi. </w:t>
      </w:r>
    </w:p>
    <w:p w:rsidR="00F731CF" w:rsidRDefault="00000000">
      <w:pPr>
        <w:ind w:left="350"/>
      </w:pPr>
      <w:r>
        <w:rPr>
          <w:b/>
        </w:rPr>
        <w:t xml:space="preserve">§ 6. </w:t>
      </w:r>
      <w:r>
        <w:t xml:space="preserve">Zasady ochrony i kształtowania ładu przestrzennego: </w:t>
      </w:r>
    </w:p>
    <w:p w:rsidR="00F731CF" w:rsidRDefault="00000000">
      <w:pPr>
        <w:numPr>
          <w:ilvl w:val="0"/>
          <w:numId w:val="5"/>
        </w:numPr>
        <w:ind w:hanging="238"/>
      </w:pPr>
      <w:r>
        <w:t xml:space="preserve">wyznacza się nieprzekraczalne linie zabudowy zgodnie z rysunkiem planu; </w:t>
      </w:r>
    </w:p>
    <w:p w:rsidR="00F731CF" w:rsidRDefault="00000000">
      <w:pPr>
        <w:numPr>
          <w:ilvl w:val="0"/>
          <w:numId w:val="5"/>
        </w:numPr>
        <w:ind w:hanging="238"/>
      </w:pPr>
      <w:proofErr w:type="gramStart"/>
      <w:r>
        <w:t>miejscach</w:t>
      </w:r>
      <w:proofErr w:type="gramEnd"/>
      <w:r>
        <w:t xml:space="preserve"> gdzie nie wskazano linii zabudowy obiekty budowlane należy lokalizować zgodnie z przepisami odrębnymi. </w:t>
      </w:r>
    </w:p>
    <w:p w:rsidR="00F731CF" w:rsidRDefault="00000000">
      <w:pPr>
        <w:ind w:left="350"/>
      </w:pPr>
      <w:r>
        <w:rPr>
          <w:b/>
        </w:rPr>
        <w:t xml:space="preserve">§ 7. </w:t>
      </w:r>
      <w:r>
        <w:t xml:space="preserve">Zasady ochrony środowiska, przyrody i krajobrazu oraz kształtowania krajobrazu. </w:t>
      </w:r>
    </w:p>
    <w:p w:rsidR="00F731CF" w:rsidRDefault="00000000">
      <w:pPr>
        <w:numPr>
          <w:ilvl w:val="1"/>
          <w:numId w:val="7"/>
        </w:numPr>
        <w:ind w:firstLine="340"/>
      </w:pPr>
      <w:r>
        <w:t xml:space="preserve">Ustala się w granicach obszaru objętego planem miejscowym zakaz lokalizacji przedsięwzięć mogących zawsze znacząco oddziaływać na środowisko zgodnie z przepisami odrębnymi. </w:t>
      </w:r>
    </w:p>
    <w:p w:rsidR="00F731CF" w:rsidRDefault="00000000">
      <w:pPr>
        <w:numPr>
          <w:ilvl w:val="1"/>
          <w:numId w:val="7"/>
        </w:numPr>
        <w:ind w:firstLine="340"/>
      </w:pPr>
      <w:r>
        <w:t xml:space="preserve">Należy stosować rozwiązania zmniejszające „efekt olśnienia” przez dzielenie pól ogniw fotowoltaicznych na mniejsze, wyraźnie oddzielone segmenty oraz stosowanie płaszczyzn o zmniejszonym poziomie odbicia światła (powłoki antyrefleksyjne). </w:t>
      </w:r>
    </w:p>
    <w:p w:rsidR="00F731CF" w:rsidRDefault="00000000">
      <w:pPr>
        <w:numPr>
          <w:ilvl w:val="1"/>
          <w:numId w:val="7"/>
        </w:numPr>
        <w:ind w:firstLine="340"/>
      </w:pPr>
      <w:r>
        <w:t xml:space="preserve">Działalność realizowana w ramach przeznaczenia podstawowego lub uzupełniającego nie może powodować ponadnormatywnych obciążeń środowiska uciążliwościami w zakresie hałasu, wibracji, emisji zanieczyszczeń pyłowych i gazowych, zanieczyszczenia wód podziemnych i powierzchniowych, natężenia pola elektromagnetycznego poza granicami terenu, do którego inwestor posiada tytuł prawny, z wyłączeniem inwestycji w zakresie elektroenergetyki lub telekomunikacji. </w:t>
      </w:r>
    </w:p>
    <w:p w:rsidR="00F731CF" w:rsidRDefault="00000000">
      <w:pPr>
        <w:ind w:left="0" w:firstLine="340"/>
      </w:pPr>
      <w:r>
        <w:rPr>
          <w:b/>
        </w:rPr>
        <w:t xml:space="preserve">§ 8. </w:t>
      </w:r>
      <w:r>
        <w:t xml:space="preserve">Zasady ochrony dziedzictwa kulturowego i zabytków, w tym krajobrazów kulturowych oraz dóbr kultury współczesnej. </w:t>
      </w:r>
    </w:p>
    <w:p w:rsidR="00F731CF" w:rsidRDefault="00000000">
      <w:pPr>
        <w:numPr>
          <w:ilvl w:val="1"/>
          <w:numId w:val="6"/>
        </w:numPr>
        <w:ind w:firstLine="340"/>
      </w:pPr>
      <w:r>
        <w:t xml:space="preserve">W granicach obszaru objętego planem miejscowym nie występują dobra kultury współczesnej. </w:t>
      </w:r>
    </w:p>
    <w:p w:rsidR="00F731CF" w:rsidRDefault="00000000">
      <w:pPr>
        <w:numPr>
          <w:ilvl w:val="1"/>
          <w:numId w:val="6"/>
        </w:numPr>
        <w:ind w:firstLine="340"/>
      </w:pPr>
      <w:r>
        <w:t xml:space="preserve">Ze względu na brak wniosków z audytu krajobrazowego, o którym mowa w art. 38a ustawy z dnia 27 marca 2003r. o planowaniu i zagospodarowaniu przestrzennym nie ustala się zasad kształtowania krajobrazów kulturowych. </w:t>
      </w:r>
    </w:p>
    <w:p w:rsidR="00F731CF" w:rsidRDefault="00000000">
      <w:pPr>
        <w:numPr>
          <w:ilvl w:val="1"/>
          <w:numId w:val="6"/>
        </w:numPr>
        <w:ind w:firstLine="340"/>
      </w:pPr>
      <w:r>
        <w:t xml:space="preserve">Ustala się ochronę potencjalnych zabytków archeologicznych: </w:t>
      </w:r>
    </w:p>
    <w:p w:rsidR="00F731CF" w:rsidRDefault="00000000">
      <w:pPr>
        <w:numPr>
          <w:ilvl w:val="0"/>
          <w:numId w:val="8"/>
        </w:numPr>
        <w:ind w:hanging="227"/>
      </w:pPr>
      <w:r>
        <w:lastRenderedPageBreak/>
        <w:t xml:space="preserve">wszystkie przedmioty, co do których istnieje </w:t>
      </w:r>
      <w:proofErr w:type="gramStart"/>
      <w:r>
        <w:t>przypuszczenie</w:t>
      </w:r>
      <w:proofErr w:type="gramEnd"/>
      <w:r>
        <w:t xml:space="preserve"> że są zabytkami pozyskanymi w trakcie prac ziemnych lub odkryte jako przypadkowe znaleziska podlegają ochronie prawnej na podstawie przepisów odrębnych; </w:t>
      </w:r>
    </w:p>
    <w:p w:rsidR="00F731CF" w:rsidRDefault="00000000">
      <w:pPr>
        <w:numPr>
          <w:ilvl w:val="0"/>
          <w:numId w:val="8"/>
        </w:numPr>
        <w:ind w:hanging="227"/>
      </w:pPr>
      <w:r>
        <w:t xml:space="preserve">postępowanie z przedmiotami lub obiektami o cechach zabytkowych odkrytymi w trakcie robót budowlanych lub prac ziemnych należy prowadzić z uwzględnieniem obowiązujących przepisów odrębnych. </w:t>
      </w:r>
    </w:p>
    <w:p w:rsidR="00F731CF" w:rsidRDefault="00000000">
      <w:pPr>
        <w:ind w:left="0" w:firstLine="340"/>
      </w:pPr>
      <w:r>
        <w:rPr>
          <w:b/>
        </w:rPr>
        <w:t xml:space="preserve">§ 9. </w:t>
      </w:r>
      <w:r>
        <w:t xml:space="preserve">Nie ustala się wymagań wynikających z potrzeb kształtowania przestrzeni publicznych ze względu na brak takich terenów. </w:t>
      </w:r>
    </w:p>
    <w:p w:rsidR="00F731CF" w:rsidRDefault="00000000">
      <w:pPr>
        <w:ind w:left="0" w:firstLine="340"/>
      </w:pPr>
      <w:r>
        <w:rPr>
          <w:b/>
        </w:rPr>
        <w:t xml:space="preserve">§ 10. </w:t>
      </w:r>
      <w:r>
        <w:t xml:space="preserve">Granice i sposoby zagospodarowania terenów lub obiektów podlegających ochronie, na podstawie odrębnych przepisów, terenów górniczych, a także obszarów szczególnego zagrożenia powodzią, obszarów osuwania się mas ziemnych, krajobrazów priorytetowych określonych w audycie krajobrazowym oraz w planach zagospodarowania przestrzennego województwa. </w:t>
      </w:r>
    </w:p>
    <w:p w:rsidR="00F731CF" w:rsidRDefault="00000000">
      <w:pPr>
        <w:numPr>
          <w:ilvl w:val="1"/>
          <w:numId w:val="9"/>
        </w:numPr>
        <w:ind w:firstLine="340"/>
      </w:pPr>
      <w:r>
        <w:t xml:space="preserve">Ze względu na położenie obszaru objętego planem miejscowym w granicach </w:t>
      </w:r>
      <w:r>
        <w:rPr>
          <w:i/>
        </w:rPr>
        <w:t xml:space="preserve">Głównego Zbiornika Wód Podziemnych nr 317 (Niecka </w:t>
      </w:r>
      <w:proofErr w:type="spellStart"/>
      <w:r>
        <w:rPr>
          <w:i/>
        </w:rPr>
        <w:t>zewnętrznosudecka</w:t>
      </w:r>
      <w:proofErr w:type="spellEnd"/>
      <w:r>
        <w:rPr>
          <w:i/>
        </w:rPr>
        <w:t xml:space="preserve"> Bolesławiec</w:t>
      </w:r>
      <w:r>
        <w:t xml:space="preserve">) ustala się zakaz odprowadzania nieoczyszczonych ścieków do wód podziemnych, gruntów oraz wód otwartych (rowów). </w:t>
      </w:r>
    </w:p>
    <w:p w:rsidR="00F731CF" w:rsidRDefault="00000000">
      <w:pPr>
        <w:numPr>
          <w:ilvl w:val="1"/>
          <w:numId w:val="9"/>
        </w:numPr>
        <w:ind w:firstLine="340"/>
      </w:pPr>
      <w:r>
        <w:t xml:space="preserve">Ze względu na brak w granicach obszaru objętego planem miejscowym: </w:t>
      </w:r>
    </w:p>
    <w:p w:rsidR="00F731CF" w:rsidRDefault="00000000">
      <w:pPr>
        <w:numPr>
          <w:ilvl w:val="0"/>
          <w:numId w:val="10"/>
        </w:numPr>
        <w:ind w:hanging="238"/>
      </w:pPr>
      <w:r>
        <w:t xml:space="preserve">terenów górniczych; </w:t>
      </w:r>
    </w:p>
    <w:p w:rsidR="00F731CF" w:rsidRDefault="00000000">
      <w:pPr>
        <w:numPr>
          <w:ilvl w:val="0"/>
          <w:numId w:val="10"/>
        </w:numPr>
        <w:ind w:hanging="238"/>
      </w:pPr>
      <w:r>
        <w:t xml:space="preserve">obszarów szczególnego zagrożenia powodzią; </w:t>
      </w:r>
    </w:p>
    <w:p w:rsidR="00F731CF" w:rsidRDefault="00000000">
      <w:pPr>
        <w:numPr>
          <w:ilvl w:val="0"/>
          <w:numId w:val="10"/>
        </w:numPr>
        <w:ind w:hanging="238"/>
      </w:pPr>
      <w:r>
        <w:t xml:space="preserve">obszarów osuwania się mas ziemnych; </w:t>
      </w:r>
    </w:p>
    <w:p w:rsidR="00F731CF" w:rsidRDefault="00000000">
      <w:pPr>
        <w:numPr>
          <w:ilvl w:val="0"/>
          <w:numId w:val="10"/>
        </w:numPr>
        <w:ind w:hanging="238"/>
      </w:pPr>
      <w:r>
        <w:t xml:space="preserve">krajobrazów priorytetowych określonych w audycie krajobrazowym oraz w planach zagospodarowania przestrzennego województwa, nie ustala się wymagań w powyższym zakresie. </w:t>
      </w:r>
    </w:p>
    <w:p w:rsidR="00F731CF" w:rsidRDefault="00000000">
      <w:pPr>
        <w:ind w:left="350"/>
      </w:pPr>
      <w:r>
        <w:rPr>
          <w:b/>
        </w:rPr>
        <w:t xml:space="preserve">§ 11. </w:t>
      </w:r>
      <w:r>
        <w:t xml:space="preserve">W zakresie szczegółowych zasad i warunków scalania i podziału nieruchomości ustala się: </w:t>
      </w:r>
    </w:p>
    <w:p w:rsidR="00F731CF" w:rsidRDefault="00000000">
      <w:pPr>
        <w:numPr>
          <w:ilvl w:val="0"/>
          <w:numId w:val="11"/>
        </w:numPr>
        <w:ind w:hanging="238"/>
      </w:pPr>
      <w:r>
        <w:t>minimalne powierzchnie działek przeznaczonych na cele nierolnicze i nieleśne: 2000 m</w:t>
      </w:r>
      <w:r>
        <w:rPr>
          <w:vertAlign w:val="superscript"/>
        </w:rPr>
        <w:t>2</w:t>
      </w:r>
      <w:r>
        <w:t xml:space="preserve">, </w:t>
      </w:r>
    </w:p>
    <w:p w:rsidR="00F731CF" w:rsidRDefault="00000000">
      <w:pPr>
        <w:numPr>
          <w:ilvl w:val="0"/>
          <w:numId w:val="11"/>
        </w:numPr>
        <w:ind w:hanging="238"/>
      </w:pPr>
      <w:r>
        <w:t xml:space="preserve">minimalne szerokości frontów działek przeznaczonych na cele nierolnicze i nieleśne: 20 m; </w:t>
      </w:r>
    </w:p>
    <w:p w:rsidR="00F731CF" w:rsidRDefault="00000000">
      <w:pPr>
        <w:numPr>
          <w:ilvl w:val="0"/>
          <w:numId w:val="11"/>
        </w:numPr>
        <w:spacing w:after="138"/>
        <w:ind w:hanging="238"/>
      </w:pPr>
      <w:r>
        <w:t>kąt położenia granic działek przeznaczonych na cele nierolnicze i nieleśne w stosunku do pasa drogowego powinien zawierać się w przedziale od 60</w:t>
      </w:r>
      <w:r>
        <w:rPr>
          <w:vertAlign w:val="superscript"/>
        </w:rPr>
        <w:t>0</w:t>
      </w:r>
      <w:r>
        <w:t xml:space="preserve"> do 120</w:t>
      </w:r>
      <w:r>
        <w:rPr>
          <w:vertAlign w:val="superscript"/>
        </w:rPr>
        <w:t>0</w:t>
      </w:r>
      <w:r>
        <w:rPr>
          <w:vertAlign w:val="subscript"/>
        </w:rPr>
        <w:t xml:space="preserve">. </w:t>
      </w:r>
      <w:r>
        <w:t xml:space="preserve"> </w:t>
      </w:r>
    </w:p>
    <w:p w:rsidR="00F731CF" w:rsidRDefault="00000000">
      <w:pPr>
        <w:ind w:left="0" w:firstLine="340"/>
      </w:pPr>
      <w:r>
        <w:rPr>
          <w:b/>
        </w:rPr>
        <w:t xml:space="preserve">§ 12. </w:t>
      </w:r>
      <w:r>
        <w:t xml:space="preserve">Szczególne warunki zagospodarowania terenów oraz ograniczenia w ich użytkowaniu, w tym zakaz zabudowy. </w:t>
      </w:r>
    </w:p>
    <w:p w:rsidR="00F731CF" w:rsidRDefault="00000000">
      <w:pPr>
        <w:numPr>
          <w:ilvl w:val="1"/>
          <w:numId w:val="12"/>
        </w:numPr>
        <w:ind w:firstLine="340"/>
      </w:pPr>
      <w:r>
        <w:t xml:space="preserve">Zagospodarowanie terenów oraz odległości obiektów budowlanych od skrajnych przewodów napowietrznych w pasach technologicznych dystrybucyjnych linii elektroenergetycznych SN 20kV o szerokości 7m od osi linii licząc w każdą stronę, zgodnie z wymaganiami przepisów odrębnych. </w:t>
      </w:r>
    </w:p>
    <w:p w:rsidR="00F731CF" w:rsidRDefault="00000000">
      <w:pPr>
        <w:numPr>
          <w:ilvl w:val="1"/>
          <w:numId w:val="12"/>
        </w:numPr>
        <w:ind w:firstLine="340"/>
      </w:pPr>
      <w:r>
        <w:t xml:space="preserve">Ustala się zakaz zabudowy na terenie lasu 1L. </w:t>
      </w:r>
    </w:p>
    <w:p w:rsidR="00F731CF" w:rsidRDefault="00000000">
      <w:pPr>
        <w:ind w:left="350"/>
      </w:pPr>
      <w:r>
        <w:rPr>
          <w:b/>
        </w:rPr>
        <w:t xml:space="preserve">§ 13. </w:t>
      </w:r>
      <w:r>
        <w:t xml:space="preserve">Zasady modernizacji, rozbudowy i budowy systemów komunikacji i infrastruktury technicznej </w:t>
      </w:r>
    </w:p>
    <w:p w:rsidR="00F731CF" w:rsidRDefault="00000000">
      <w:pPr>
        <w:ind w:left="350"/>
      </w:pPr>
      <w:r>
        <w:t xml:space="preserve">1. Komunikacja: </w:t>
      </w:r>
    </w:p>
    <w:p w:rsidR="00F731CF" w:rsidRDefault="00000000">
      <w:pPr>
        <w:numPr>
          <w:ilvl w:val="0"/>
          <w:numId w:val="13"/>
        </w:numPr>
        <w:ind w:hanging="238"/>
      </w:pPr>
      <w:r>
        <w:t xml:space="preserve">obszar objęty planem miejscowym jest powiązany z zewnętrznym układem komunikacyjnym przez teren komunikacji drogowej wewnętrznej 1KR; </w:t>
      </w:r>
    </w:p>
    <w:p w:rsidR="00F731CF" w:rsidRDefault="00000000">
      <w:pPr>
        <w:numPr>
          <w:ilvl w:val="0"/>
          <w:numId w:val="13"/>
        </w:numPr>
        <w:ind w:hanging="238"/>
      </w:pPr>
      <w:r>
        <w:t xml:space="preserve">ustala się obowiązek zapewnienia miejsc parkingowych w liczbie nie mniejszej niż: </w:t>
      </w:r>
    </w:p>
    <w:p w:rsidR="00F731CF" w:rsidRDefault="00000000">
      <w:pPr>
        <w:numPr>
          <w:ilvl w:val="1"/>
          <w:numId w:val="13"/>
        </w:numPr>
        <w:ind w:hanging="227"/>
      </w:pPr>
      <w:r>
        <w:t xml:space="preserve">1 miejsce parkingowe na każdych 5 zatrudnionych w elektrowni słonecznej, </w:t>
      </w:r>
    </w:p>
    <w:p w:rsidR="00F731CF" w:rsidRDefault="00000000">
      <w:pPr>
        <w:numPr>
          <w:ilvl w:val="1"/>
          <w:numId w:val="13"/>
        </w:numPr>
        <w:ind w:hanging="227"/>
      </w:pPr>
      <w:r>
        <w:t xml:space="preserve">do wymaganej liczby miejsc parkingowych zalicza się również miejsca w garażach lub wiatach garażowych, </w:t>
      </w:r>
    </w:p>
    <w:p w:rsidR="00F731CF" w:rsidRDefault="00000000">
      <w:pPr>
        <w:numPr>
          <w:ilvl w:val="1"/>
          <w:numId w:val="13"/>
        </w:numPr>
        <w:ind w:hanging="227"/>
      </w:pPr>
      <w:r>
        <w:t xml:space="preserve">naziemne miejsca do parkowania należy realizować jako utwardzone w całości lub w części, </w:t>
      </w:r>
    </w:p>
    <w:p w:rsidR="00F731CF" w:rsidRDefault="00000000">
      <w:pPr>
        <w:numPr>
          <w:ilvl w:val="1"/>
          <w:numId w:val="13"/>
        </w:numPr>
        <w:ind w:hanging="227"/>
      </w:pPr>
      <w:r>
        <w:t xml:space="preserve">miejsca parkingowe przeznaczone na parkowanie pojazdów zaopatrzonych w kartę parkingową należy wyznaczać na zasadach określonych w przepisach odrębnych. </w:t>
      </w:r>
    </w:p>
    <w:p w:rsidR="00F731CF" w:rsidRDefault="00000000">
      <w:pPr>
        <w:numPr>
          <w:ilvl w:val="1"/>
          <w:numId w:val="14"/>
        </w:numPr>
        <w:ind w:firstLine="340"/>
      </w:pPr>
      <w:r>
        <w:lastRenderedPageBreak/>
        <w:t xml:space="preserve">Infrastruktura techniczna: ustala się w granicach obszaru objętego planem miejscowym realizację dystrybucyjnej sieci infrastruktury technicznej na zasadach określonych w przepisach odrębnych. </w:t>
      </w:r>
    </w:p>
    <w:p w:rsidR="00F731CF" w:rsidRDefault="00000000">
      <w:pPr>
        <w:numPr>
          <w:ilvl w:val="1"/>
          <w:numId w:val="14"/>
        </w:numPr>
        <w:ind w:firstLine="340"/>
      </w:pPr>
      <w:r>
        <w:t xml:space="preserve">Zaopatrzenie w wodę: </w:t>
      </w:r>
    </w:p>
    <w:p w:rsidR="00F731CF" w:rsidRDefault="00000000">
      <w:pPr>
        <w:numPr>
          <w:ilvl w:val="0"/>
          <w:numId w:val="15"/>
        </w:numPr>
        <w:ind w:hanging="238"/>
        <w:jc w:val="left"/>
      </w:pPr>
      <w:r>
        <w:t xml:space="preserve">zaopatrzenie w wodę: z własnego ujęcia wody lub z sieci wodociągowej; </w:t>
      </w:r>
    </w:p>
    <w:p w:rsidR="00F731CF" w:rsidRDefault="00000000">
      <w:pPr>
        <w:numPr>
          <w:ilvl w:val="0"/>
          <w:numId w:val="15"/>
        </w:numPr>
        <w:spacing w:after="109"/>
        <w:ind w:hanging="238"/>
        <w:jc w:val="left"/>
      </w:pPr>
      <w:r>
        <w:t xml:space="preserve">parametry sieci wodociągowej należy dostosować do wymagań przepisów odrębnych. </w:t>
      </w:r>
    </w:p>
    <w:p w:rsidR="00F731CF" w:rsidRDefault="00000000">
      <w:pPr>
        <w:ind w:left="350"/>
      </w:pPr>
      <w:r>
        <w:t xml:space="preserve">4. Kanalizacja sanitarna: </w:t>
      </w:r>
    </w:p>
    <w:p w:rsidR="00F731CF" w:rsidRDefault="00000000">
      <w:pPr>
        <w:numPr>
          <w:ilvl w:val="0"/>
          <w:numId w:val="16"/>
        </w:numPr>
        <w:ind w:right="677" w:hanging="227"/>
      </w:pPr>
      <w:r>
        <w:t xml:space="preserve">odprowadzenie ścieków komunalnych: do systemu kanalizacji </w:t>
      </w:r>
      <w:proofErr w:type="gramStart"/>
      <w:r>
        <w:t>sanitarnej,</w:t>
      </w:r>
      <w:proofErr w:type="gramEnd"/>
      <w:r>
        <w:t xml:space="preserve"> lub z wykorzystaniem indywidualnych urządzeń do gromadzenia i utylizacji ścieków, zgodnie z przepisami odrębnymi; </w:t>
      </w:r>
    </w:p>
    <w:p w:rsidR="00F731CF" w:rsidRDefault="00000000">
      <w:pPr>
        <w:numPr>
          <w:ilvl w:val="0"/>
          <w:numId w:val="16"/>
        </w:numPr>
        <w:spacing w:after="0" w:line="351" w:lineRule="auto"/>
        <w:ind w:right="677" w:hanging="227"/>
      </w:pPr>
      <w:r>
        <w:t xml:space="preserve">odprowadzenie i utylizacja ścieków przemysłowych, zgodnie z przepisami odrębnymi; 3) parametry sieci kanalizacji sanitarnej należy dostosować do wymagań przepisów odrębnych. </w:t>
      </w:r>
    </w:p>
    <w:p w:rsidR="00F731CF" w:rsidRDefault="00000000">
      <w:pPr>
        <w:ind w:left="350"/>
      </w:pPr>
      <w:r>
        <w:t xml:space="preserve">5. Kanalizacja deszczowa: </w:t>
      </w:r>
    </w:p>
    <w:p w:rsidR="00F731CF" w:rsidRDefault="00000000">
      <w:pPr>
        <w:numPr>
          <w:ilvl w:val="0"/>
          <w:numId w:val="17"/>
        </w:numPr>
        <w:ind w:hanging="238"/>
      </w:pPr>
      <w:r>
        <w:t xml:space="preserve">odprowadzenie wód opadowych i roztopowych z połaci dachowych i nawierzchni utwardzonych alternatywnie: powierzchniowo, do innych odbiorników wód, z zastosowaniem studni chłonnych lub zbiorników retencyjno-odparowujących zlokalizowanych na terenie inwestora, lub do kanalizacji deszczowej, zgodnie z przepisami odrębnymi; </w:t>
      </w:r>
    </w:p>
    <w:p w:rsidR="00F731CF" w:rsidRDefault="00000000">
      <w:pPr>
        <w:numPr>
          <w:ilvl w:val="0"/>
          <w:numId w:val="17"/>
        </w:numPr>
        <w:ind w:hanging="238"/>
      </w:pPr>
      <w:r>
        <w:t xml:space="preserve">parametry sieci kanalizacji deszczowej należy dostosować do wymagań przepisów odrębnych; </w:t>
      </w:r>
    </w:p>
    <w:p w:rsidR="00F731CF" w:rsidRDefault="00000000">
      <w:pPr>
        <w:numPr>
          <w:ilvl w:val="0"/>
          <w:numId w:val="17"/>
        </w:numPr>
        <w:ind w:hanging="238"/>
      </w:pPr>
      <w:r>
        <w:t xml:space="preserve">obowiązuje stosowanie rozwiązań polegających na zagospodarowaniu całości lub części wód w miejscu opadu, w szczególności poprzez gospodarcze wykorzystanie, odparowanie, rozsączanie do gruntu lub retencjonowanie na działce budowlanej wraz ze spowolnianiem ich odpływu do odbiornika. </w:t>
      </w:r>
    </w:p>
    <w:p w:rsidR="00F731CF" w:rsidRDefault="00000000">
      <w:pPr>
        <w:ind w:left="350"/>
      </w:pPr>
      <w:r>
        <w:t xml:space="preserve">6. Elektroenergetyka: </w:t>
      </w:r>
    </w:p>
    <w:p w:rsidR="00F731CF" w:rsidRDefault="00000000">
      <w:pPr>
        <w:numPr>
          <w:ilvl w:val="0"/>
          <w:numId w:val="18"/>
        </w:numPr>
        <w:ind w:right="448" w:hanging="227"/>
      </w:pPr>
      <w:r>
        <w:t xml:space="preserve">zasilanie z dystrybucyjnej sieci elektroenergetycznej lub ze źródeł indywidualnych, w tym z wolnostojących fotowoltaicznych urządzeń wytwarzających energię z odnawialnych źródeł, z zastrzeżeniem ust 11; </w:t>
      </w:r>
    </w:p>
    <w:p w:rsidR="00F731CF" w:rsidRDefault="00000000">
      <w:pPr>
        <w:numPr>
          <w:ilvl w:val="0"/>
          <w:numId w:val="18"/>
        </w:numPr>
        <w:spacing w:after="0" w:line="351" w:lineRule="auto"/>
        <w:ind w:right="448" w:hanging="227"/>
      </w:pPr>
      <w:r>
        <w:t xml:space="preserve">parametry sieci elektroenergetycznej należy dostosować do wymagań przepisów odrębnych; 3) dopuszcza się lokalizację napowietrznych i podziemnych kablowych sieci elektroenergetycznych. </w:t>
      </w:r>
    </w:p>
    <w:p w:rsidR="00F731CF" w:rsidRDefault="00000000">
      <w:pPr>
        <w:ind w:left="350"/>
      </w:pPr>
      <w:r>
        <w:t xml:space="preserve">7. Zaopatrzenie w gaz: </w:t>
      </w:r>
    </w:p>
    <w:p w:rsidR="00F731CF" w:rsidRDefault="00000000">
      <w:pPr>
        <w:numPr>
          <w:ilvl w:val="0"/>
          <w:numId w:val="19"/>
        </w:numPr>
        <w:ind w:hanging="238"/>
      </w:pPr>
      <w:r>
        <w:t xml:space="preserve">dostawa gazu z dystrybucyjnej sieci gazowej, przyłączanie obiektów, zgodnie z wymogami przepisów odrębnych; </w:t>
      </w:r>
    </w:p>
    <w:p w:rsidR="00F731CF" w:rsidRDefault="00000000">
      <w:pPr>
        <w:numPr>
          <w:ilvl w:val="0"/>
          <w:numId w:val="19"/>
        </w:numPr>
        <w:ind w:hanging="238"/>
      </w:pPr>
      <w:r>
        <w:t xml:space="preserve">parametry sieci gazowej należy dostosować do wymagań przepisów odrębnych; </w:t>
      </w:r>
    </w:p>
    <w:p w:rsidR="00F731CF" w:rsidRDefault="00000000">
      <w:pPr>
        <w:numPr>
          <w:ilvl w:val="0"/>
          <w:numId w:val="19"/>
        </w:numPr>
        <w:ind w:hanging="238"/>
      </w:pPr>
      <w:r>
        <w:t xml:space="preserve">dopuszcza się stosowanie indywidualnych zbiorników zaopatrzenia w gaz płynny, lokalizacja zbiorników i związanych z nimi instalacji zgodnie z wymogami przepisów odrębnych. </w:t>
      </w:r>
    </w:p>
    <w:p w:rsidR="00F731CF" w:rsidRDefault="00000000">
      <w:pPr>
        <w:numPr>
          <w:ilvl w:val="1"/>
          <w:numId w:val="19"/>
        </w:numPr>
        <w:ind w:firstLine="340"/>
      </w:pPr>
      <w:r>
        <w:t xml:space="preserve">Zaopatrzenie w ciepło: zaopatrzenie z indywidualnych lub zbiorczych źródeł zaopatrzenia w ciepło, z uwzględnieniem ograniczeń i zakazów w zakresie eksploatacji instalacji, w których następuje spalanie paliw wynikających z przepisów odrębnych i z zastrzeżeniem ust 11. </w:t>
      </w:r>
    </w:p>
    <w:p w:rsidR="00F731CF" w:rsidRDefault="00000000">
      <w:pPr>
        <w:numPr>
          <w:ilvl w:val="1"/>
          <w:numId w:val="19"/>
        </w:numPr>
        <w:ind w:firstLine="340"/>
      </w:pPr>
      <w:r>
        <w:t xml:space="preserve">Telekomunikacja: dostęp do usług telekomunikacyjnych, w tym sieci szerokopasmowych, podziemną lub radiową siecią telekomunikacyjną. </w:t>
      </w:r>
    </w:p>
    <w:p w:rsidR="00F731CF" w:rsidRDefault="00000000">
      <w:pPr>
        <w:numPr>
          <w:ilvl w:val="1"/>
          <w:numId w:val="19"/>
        </w:numPr>
        <w:ind w:firstLine="340"/>
      </w:pPr>
      <w:r>
        <w:t xml:space="preserve">Gospodarka odpadami: </w:t>
      </w:r>
    </w:p>
    <w:p w:rsidR="00F731CF" w:rsidRDefault="00000000">
      <w:pPr>
        <w:numPr>
          <w:ilvl w:val="0"/>
          <w:numId w:val="20"/>
        </w:numPr>
        <w:ind w:hanging="238"/>
      </w:pPr>
      <w:r>
        <w:t xml:space="preserve">odpady komunalne należy zagospodarować zgodnie z przepisami odrębnymi; </w:t>
      </w:r>
    </w:p>
    <w:p w:rsidR="00F731CF" w:rsidRDefault="00000000">
      <w:pPr>
        <w:numPr>
          <w:ilvl w:val="0"/>
          <w:numId w:val="20"/>
        </w:numPr>
        <w:ind w:hanging="238"/>
      </w:pPr>
      <w:r>
        <w:t xml:space="preserve">odpady inne niż komunalne należy zagospodarować zgodnie z wymaganiami przepisów odrębnych. </w:t>
      </w:r>
    </w:p>
    <w:p w:rsidR="00F731CF" w:rsidRDefault="00000000">
      <w:pPr>
        <w:ind w:left="350"/>
      </w:pPr>
      <w:r>
        <w:t xml:space="preserve">11. Zasady lokalizacji urządzeń wytwarzających energię z odnawialnych źródeł energii: </w:t>
      </w:r>
    </w:p>
    <w:p w:rsidR="00F731CF" w:rsidRDefault="00000000">
      <w:pPr>
        <w:numPr>
          <w:ilvl w:val="0"/>
          <w:numId w:val="21"/>
        </w:numPr>
        <w:ind w:hanging="227"/>
      </w:pPr>
      <w:r>
        <w:t xml:space="preserve">w granicach terenów elektrowni słonecznej 1PEF i 2PEF dopuszcza się lokalizację wolnostojących fotowoltaicznych urządzeń wytwarzających energię z odnawialnych źródeł energii o mocy elektrycznej zainstalowanej większej niż 500kW, na warunkach określonych w przepisach odrębnych; </w:t>
      </w:r>
    </w:p>
    <w:p w:rsidR="00F731CF" w:rsidRDefault="00000000">
      <w:pPr>
        <w:numPr>
          <w:ilvl w:val="0"/>
          <w:numId w:val="21"/>
        </w:numPr>
        <w:spacing w:after="80"/>
        <w:ind w:hanging="227"/>
      </w:pPr>
      <w:r>
        <w:lastRenderedPageBreak/>
        <w:t xml:space="preserve">w granicach terenów elektrowni słonecznej 1PEF i 2PEF ustala budowę niezbędnej infrastruktury technicznej, stacji transformatorowych wysokiego napięcia lub średniego napięcia, inwerterów, magazynu energii, Głównego Punktu Odbioru wysokiego napięcia, średniego napięcia, szaf elektroenergetycznych, sieci elektroenergetycznej wysokiego napięcia, średniego napięcia, niskiego napięcia (w tym: podziemnych kabli elektroenergetycznych wysokiego napięcia, średniego napięcia, niskiego napięcia, napowietrznych sieci elektroenergetycznych wysokiego napięcia, średniego napięcia, niskiego napięcia, rozdzielnic napięcia), sieci teletechnicznej, oświetlenia terenu i innych infrastrukturalnych obiektów budowlanych; 3) na obszarze objętym planem miejscowym ustala się zakaz lokalizacji: </w:t>
      </w:r>
    </w:p>
    <w:p w:rsidR="00F731CF" w:rsidRDefault="00000000">
      <w:pPr>
        <w:numPr>
          <w:ilvl w:val="1"/>
          <w:numId w:val="21"/>
        </w:numPr>
        <w:ind w:hanging="227"/>
        <w:jc w:val="left"/>
      </w:pPr>
      <w:r>
        <w:t xml:space="preserve">biogazowni, w tym instalacji służących do wytwarzania biogazu rolniczego, niezależnie od ich mocy, </w:t>
      </w:r>
    </w:p>
    <w:p w:rsidR="00F731CF" w:rsidRDefault="00000000">
      <w:pPr>
        <w:numPr>
          <w:ilvl w:val="1"/>
          <w:numId w:val="21"/>
        </w:numPr>
        <w:spacing w:after="138"/>
        <w:ind w:hanging="227"/>
        <w:jc w:val="left"/>
      </w:pPr>
      <w:r>
        <w:t xml:space="preserve">urządzeń wytwarzających energię z odnawialnych źródeł energii wykorzystujących energię wiatru, z wyjątkiem urządzeń stanowiących </w:t>
      </w:r>
      <w:proofErr w:type="spellStart"/>
      <w:r>
        <w:t>mikroinstalacje</w:t>
      </w:r>
      <w:proofErr w:type="spellEnd"/>
      <w:r>
        <w:t xml:space="preserve">. </w:t>
      </w:r>
    </w:p>
    <w:p w:rsidR="00F731CF" w:rsidRDefault="00000000">
      <w:pPr>
        <w:ind w:left="0" w:firstLine="340"/>
      </w:pPr>
      <w:r>
        <w:rPr>
          <w:b/>
        </w:rPr>
        <w:t xml:space="preserve">§ 14. </w:t>
      </w:r>
      <w:r>
        <w:t xml:space="preserve">Nie </w:t>
      </w:r>
      <w:r>
        <w:tab/>
        <w:t xml:space="preserve">ustala </w:t>
      </w:r>
      <w:r>
        <w:tab/>
        <w:t xml:space="preserve">się </w:t>
      </w:r>
      <w:r>
        <w:tab/>
        <w:t xml:space="preserve">szczególnych </w:t>
      </w:r>
      <w:r>
        <w:tab/>
        <w:t xml:space="preserve">wymagań </w:t>
      </w:r>
      <w:r>
        <w:tab/>
        <w:t xml:space="preserve">w zakresie </w:t>
      </w:r>
      <w:r>
        <w:tab/>
        <w:t xml:space="preserve">sposobu </w:t>
      </w:r>
      <w:r>
        <w:tab/>
        <w:t xml:space="preserve">ani </w:t>
      </w:r>
      <w:r>
        <w:tab/>
        <w:t xml:space="preserve">terminu </w:t>
      </w:r>
      <w:r>
        <w:tab/>
        <w:t xml:space="preserve">tymczasowego zagospodarowania terenów. </w:t>
      </w:r>
    </w:p>
    <w:p w:rsidR="00F731CF" w:rsidRDefault="00000000">
      <w:pPr>
        <w:ind w:left="0" w:firstLine="340"/>
      </w:pPr>
      <w:r>
        <w:rPr>
          <w:b/>
        </w:rPr>
        <w:t xml:space="preserve">§ 15. </w:t>
      </w:r>
      <w:r>
        <w:t xml:space="preserve">Ustala się stawkę służącą naliczeniu opłaty, o której mowa w art. 36 ust. 4 ustawy z dnia 27 marca 2003 r. o planowaniu i zagospodarowaniu przestrzennym w wysokości 5%. </w:t>
      </w:r>
    </w:p>
    <w:p w:rsidR="00F731CF" w:rsidRDefault="00000000">
      <w:pPr>
        <w:spacing w:after="0" w:line="259" w:lineRule="auto"/>
        <w:ind w:left="237" w:right="227"/>
        <w:jc w:val="center"/>
      </w:pPr>
      <w:r>
        <w:rPr>
          <w:b/>
        </w:rPr>
        <w:t>Rozdział 3.</w:t>
      </w:r>
      <w:r>
        <w:t xml:space="preserve"> </w:t>
      </w:r>
    </w:p>
    <w:p w:rsidR="00F731CF" w:rsidRDefault="00000000">
      <w:pPr>
        <w:spacing w:after="98" w:line="259" w:lineRule="auto"/>
        <w:ind w:left="237" w:right="227"/>
        <w:jc w:val="center"/>
      </w:pPr>
      <w:r>
        <w:rPr>
          <w:b/>
        </w:rPr>
        <w:t>Ustalenia szczegółowe</w:t>
      </w:r>
      <w:r>
        <w:t xml:space="preserve"> </w:t>
      </w:r>
    </w:p>
    <w:p w:rsidR="00F731CF" w:rsidRDefault="00000000">
      <w:pPr>
        <w:ind w:left="350"/>
      </w:pPr>
      <w:r>
        <w:rPr>
          <w:b/>
        </w:rPr>
        <w:t xml:space="preserve">§ 16. </w:t>
      </w:r>
      <w:r>
        <w:t xml:space="preserve">Wyznacza się tereny elektrowni słonecznej oznaczone na rysunku planu symbolami 1PEF i 2PEF. </w:t>
      </w:r>
    </w:p>
    <w:p w:rsidR="00F731CF" w:rsidRDefault="00000000">
      <w:pPr>
        <w:numPr>
          <w:ilvl w:val="1"/>
          <w:numId w:val="22"/>
        </w:numPr>
        <w:ind w:hanging="220"/>
      </w:pPr>
      <w:r>
        <w:t>Przeznaczenie podstawowe: elektrownia słoneczna (</w:t>
      </w:r>
      <w:r>
        <w:rPr>
          <w:i/>
        </w:rPr>
        <w:t>farma fotowoltaiczna</w:t>
      </w:r>
      <w:r>
        <w:t xml:space="preserve">). </w:t>
      </w:r>
    </w:p>
    <w:p w:rsidR="00F731CF" w:rsidRDefault="00000000">
      <w:pPr>
        <w:numPr>
          <w:ilvl w:val="1"/>
          <w:numId w:val="22"/>
        </w:numPr>
        <w:ind w:hanging="220"/>
      </w:pPr>
      <w:r>
        <w:t xml:space="preserve">Zasady kształtowania zabudowy oraz wskaźniki zagospodarowania terenu: </w:t>
      </w:r>
    </w:p>
    <w:p w:rsidR="00F731CF" w:rsidRDefault="00000000">
      <w:pPr>
        <w:numPr>
          <w:ilvl w:val="0"/>
          <w:numId w:val="23"/>
        </w:numPr>
        <w:ind w:hanging="238"/>
      </w:pPr>
      <w:r>
        <w:t xml:space="preserve">nadziemna intensywność zabudowy: </w:t>
      </w:r>
    </w:p>
    <w:p w:rsidR="00F731CF" w:rsidRDefault="00000000">
      <w:pPr>
        <w:numPr>
          <w:ilvl w:val="1"/>
          <w:numId w:val="23"/>
        </w:numPr>
        <w:ind w:firstLine="227"/>
      </w:pPr>
      <w:r>
        <w:t xml:space="preserve">minimalna: 0,01, </w:t>
      </w:r>
    </w:p>
    <w:p w:rsidR="00F731CF" w:rsidRDefault="00000000">
      <w:pPr>
        <w:numPr>
          <w:ilvl w:val="1"/>
          <w:numId w:val="23"/>
        </w:numPr>
        <w:ind w:firstLine="227"/>
      </w:pPr>
      <w:r>
        <w:t xml:space="preserve">maksymalna: 0,80; </w:t>
      </w:r>
    </w:p>
    <w:p w:rsidR="00F731CF" w:rsidRDefault="00000000">
      <w:pPr>
        <w:numPr>
          <w:ilvl w:val="0"/>
          <w:numId w:val="23"/>
        </w:numPr>
        <w:ind w:hanging="238"/>
      </w:pPr>
      <w:r>
        <w:t xml:space="preserve">maksymalny udział powierzchni zabudowy: 0,80; </w:t>
      </w:r>
    </w:p>
    <w:p w:rsidR="00F731CF" w:rsidRDefault="00000000">
      <w:pPr>
        <w:numPr>
          <w:ilvl w:val="0"/>
          <w:numId w:val="23"/>
        </w:numPr>
        <w:ind w:hanging="238"/>
      </w:pPr>
      <w:r>
        <w:t xml:space="preserve">minimalny udział powierzchni biologicznie czynnej: 0,10; </w:t>
      </w:r>
    </w:p>
    <w:p w:rsidR="00F731CF" w:rsidRDefault="00000000">
      <w:pPr>
        <w:numPr>
          <w:ilvl w:val="0"/>
          <w:numId w:val="23"/>
        </w:numPr>
        <w:ind w:hanging="238"/>
      </w:pPr>
      <w:r>
        <w:t xml:space="preserve">maksymalna wysokość zabudowy oraz gabaryty zabudowy: </w:t>
      </w:r>
    </w:p>
    <w:p w:rsidR="00F731CF" w:rsidRDefault="00000000">
      <w:pPr>
        <w:numPr>
          <w:ilvl w:val="1"/>
          <w:numId w:val="23"/>
        </w:numPr>
        <w:ind w:firstLine="227"/>
      </w:pPr>
      <w:r>
        <w:t xml:space="preserve">wysokość budynków nie większa niż 10 m, </w:t>
      </w:r>
    </w:p>
    <w:p w:rsidR="00F731CF" w:rsidRDefault="00000000">
      <w:pPr>
        <w:numPr>
          <w:ilvl w:val="1"/>
          <w:numId w:val="23"/>
        </w:numPr>
        <w:ind w:firstLine="227"/>
      </w:pPr>
      <w:r>
        <w:t xml:space="preserve">wysokość budowli: </w:t>
      </w:r>
    </w:p>
    <w:p w:rsidR="00F731CF" w:rsidRDefault="00000000">
      <w:pPr>
        <w:numPr>
          <w:ilvl w:val="2"/>
          <w:numId w:val="23"/>
        </w:numPr>
        <w:ind w:hanging="128"/>
      </w:pPr>
      <w:r>
        <w:t xml:space="preserve">wolnostojących masztów antenowych i odgromowych nie większa niż 30 m, </w:t>
      </w:r>
    </w:p>
    <w:p w:rsidR="00F731CF" w:rsidRDefault="00000000">
      <w:pPr>
        <w:numPr>
          <w:ilvl w:val="2"/>
          <w:numId w:val="23"/>
        </w:numPr>
        <w:ind w:hanging="128"/>
      </w:pPr>
      <w:r>
        <w:t xml:space="preserve">wolnostojących paneli ogniw fotowoltaicznych nie większa niż 6 m, </w:t>
      </w:r>
    </w:p>
    <w:p w:rsidR="00F731CF" w:rsidRDefault="00000000">
      <w:pPr>
        <w:numPr>
          <w:ilvl w:val="1"/>
          <w:numId w:val="23"/>
        </w:numPr>
        <w:spacing w:after="0" w:line="351" w:lineRule="auto"/>
        <w:ind w:firstLine="227"/>
      </w:pPr>
      <w:r>
        <w:t xml:space="preserve">liczba kondygnacji nadziemnych budynków nie może przekraczać trzech; 5) geometria dachów: dopuszcza się dowolną geometrię dachów. </w:t>
      </w:r>
    </w:p>
    <w:p w:rsidR="00F731CF" w:rsidRDefault="00000000">
      <w:pPr>
        <w:ind w:left="350"/>
      </w:pPr>
      <w:r>
        <w:rPr>
          <w:b/>
        </w:rPr>
        <w:t xml:space="preserve">§ 17. </w:t>
      </w:r>
      <w:r>
        <w:t xml:space="preserve">Wyznacza się teren komunikacji drogowej wewnętrznej oznaczony na rysunku planu symbolem 1KR. </w:t>
      </w:r>
    </w:p>
    <w:p w:rsidR="00F731CF" w:rsidRDefault="00000000">
      <w:pPr>
        <w:numPr>
          <w:ilvl w:val="1"/>
          <w:numId w:val="24"/>
        </w:numPr>
        <w:ind w:hanging="220"/>
      </w:pPr>
      <w:r>
        <w:t xml:space="preserve">Przeznaczenie podstawowe: droga wewnętrzna. </w:t>
      </w:r>
    </w:p>
    <w:p w:rsidR="00F731CF" w:rsidRDefault="00000000">
      <w:pPr>
        <w:numPr>
          <w:ilvl w:val="1"/>
          <w:numId w:val="24"/>
        </w:numPr>
        <w:ind w:hanging="220"/>
      </w:pPr>
      <w:r>
        <w:t xml:space="preserve">Przeznaczenie uzupełniające: sieci infrastruktury technicznej. </w:t>
      </w:r>
    </w:p>
    <w:p w:rsidR="00F731CF" w:rsidRDefault="00000000">
      <w:pPr>
        <w:ind w:left="350"/>
      </w:pPr>
      <w:r>
        <w:rPr>
          <w:b/>
        </w:rPr>
        <w:t xml:space="preserve">§ 18. </w:t>
      </w:r>
      <w:r>
        <w:t xml:space="preserve">Wyznacza się teren lasu oznaczony na rysunku planu symbolem 1L. </w:t>
      </w:r>
    </w:p>
    <w:p w:rsidR="00F731CF" w:rsidRDefault="00000000">
      <w:pPr>
        <w:numPr>
          <w:ilvl w:val="1"/>
          <w:numId w:val="25"/>
        </w:numPr>
        <w:ind w:hanging="220"/>
      </w:pPr>
      <w:r>
        <w:t xml:space="preserve">Przeznaczenie podstawowe: las. </w:t>
      </w:r>
    </w:p>
    <w:p w:rsidR="00F731CF" w:rsidRDefault="00000000">
      <w:pPr>
        <w:numPr>
          <w:ilvl w:val="1"/>
          <w:numId w:val="25"/>
        </w:numPr>
        <w:ind w:hanging="220"/>
      </w:pPr>
      <w:r>
        <w:t xml:space="preserve">Ustala się zakaz zabudowy. </w:t>
      </w:r>
    </w:p>
    <w:p w:rsidR="00F731CF" w:rsidRDefault="00000000">
      <w:pPr>
        <w:spacing w:after="0" w:line="259" w:lineRule="auto"/>
        <w:ind w:left="237" w:right="227"/>
        <w:jc w:val="center"/>
      </w:pPr>
      <w:r>
        <w:rPr>
          <w:b/>
        </w:rPr>
        <w:t>Rozdział 4.</w:t>
      </w:r>
      <w:r>
        <w:t xml:space="preserve"> </w:t>
      </w:r>
    </w:p>
    <w:p w:rsidR="00F731CF" w:rsidRDefault="00000000">
      <w:pPr>
        <w:spacing w:after="98" w:line="259" w:lineRule="auto"/>
        <w:jc w:val="center"/>
      </w:pPr>
      <w:r>
        <w:rPr>
          <w:b/>
        </w:rPr>
        <w:t>Ustalenia końcowe</w:t>
      </w:r>
      <w:r>
        <w:t xml:space="preserve"> </w:t>
      </w:r>
    </w:p>
    <w:p w:rsidR="00F731CF" w:rsidRDefault="00000000">
      <w:pPr>
        <w:ind w:left="350"/>
      </w:pPr>
      <w:r>
        <w:rPr>
          <w:b/>
        </w:rPr>
        <w:t xml:space="preserve">§ 19. </w:t>
      </w:r>
      <w:r>
        <w:t xml:space="preserve">Wykonanie niniejszej uchwały powierza się Burmistrzowi Węglińca. </w:t>
      </w:r>
    </w:p>
    <w:p w:rsidR="00F731CF" w:rsidRDefault="00000000">
      <w:pPr>
        <w:ind w:left="0" w:firstLine="340"/>
      </w:pPr>
      <w:r>
        <w:rPr>
          <w:b/>
        </w:rPr>
        <w:lastRenderedPageBreak/>
        <w:t xml:space="preserve">§ 20. </w:t>
      </w:r>
      <w:r>
        <w:t xml:space="preserve">Uchwała wchodzi w życie po upływie 14 dni od daty ogłoszenia w Dzienniku Urzędowym Województwa Dolnośląskiego. </w:t>
      </w:r>
    </w:p>
    <w:p w:rsidR="00F731CF" w:rsidRDefault="00000000">
      <w:pPr>
        <w:spacing w:after="129" w:line="259" w:lineRule="auto"/>
        <w:ind w:left="340" w:firstLine="0"/>
        <w:jc w:val="left"/>
      </w:pPr>
      <w:r>
        <w:t xml:space="preserve"> </w:t>
      </w:r>
    </w:p>
    <w:p w:rsidR="00F731CF" w:rsidRDefault="00000000">
      <w:pPr>
        <w:spacing w:after="554" w:line="259" w:lineRule="auto"/>
        <w:ind w:left="0" w:firstLine="0"/>
        <w:jc w:val="left"/>
      </w:pPr>
      <w:r>
        <w:t xml:space="preserve">   </w:t>
      </w:r>
    </w:p>
    <w:p w:rsidR="00F731CF" w:rsidRDefault="00000000">
      <w:pPr>
        <w:spacing w:after="10"/>
        <w:ind w:left="6429"/>
        <w:jc w:val="left"/>
      </w:pPr>
      <w:r>
        <w:t xml:space="preserve">Przewodniczący Rady </w:t>
      </w:r>
    </w:p>
    <w:p w:rsidR="00F731CF" w:rsidRDefault="00000000">
      <w:pPr>
        <w:spacing w:after="0" w:line="259" w:lineRule="auto"/>
        <w:ind w:left="4988" w:firstLine="0"/>
        <w:jc w:val="center"/>
      </w:pPr>
      <w:r>
        <w:t xml:space="preserve"> </w:t>
      </w:r>
    </w:p>
    <w:p w:rsidR="00F731CF" w:rsidRDefault="00000000">
      <w:pPr>
        <w:spacing w:after="0" w:line="259" w:lineRule="auto"/>
        <w:ind w:left="4988" w:firstLine="0"/>
        <w:jc w:val="center"/>
      </w:pPr>
      <w:r>
        <w:t xml:space="preserve"> </w:t>
      </w:r>
    </w:p>
    <w:p w:rsidR="00F731CF" w:rsidRDefault="00000000">
      <w:pPr>
        <w:pStyle w:val="Nagwek1"/>
        <w:spacing w:after="557" w:line="241" w:lineRule="auto"/>
        <w:ind w:left="6486" w:right="992" w:firstLine="0"/>
      </w:pPr>
      <w:r>
        <w:rPr>
          <w:b/>
          <w:sz w:val="22"/>
        </w:rPr>
        <w:t>Marek Wawrzynek</w:t>
      </w:r>
      <w:r>
        <w:rPr>
          <w:sz w:val="22"/>
        </w:rPr>
        <w:t xml:space="preserve"> </w:t>
      </w:r>
    </w:p>
    <w:p w:rsidR="00F731CF" w:rsidRDefault="00000000">
      <w:pPr>
        <w:spacing w:after="98" w:line="259" w:lineRule="auto"/>
        <w:ind w:right="20"/>
        <w:jc w:val="center"/>
      </w:pPr>
      <w:r>
        <w:rPr>
          <w:b/>
        </w:rPr>
        <w:t>Uzasadnienie</w:t>
      </w:r>
      <w:r>
        <w:t xml:space="preserve"> </w:t>
      </w:r>
    </w:p>
    <w:p w:rsidR="00F731CF" w:rsidRDefault="00000000">
      <w:pPr>
        <w:numPr>
          <w:ilvl w:val="0"/>
          <w:numId w:val="26"/>
        </w:numPr>
        <w:ind w:firstLine="340"/>
      </w:pPr>
      <w:r>
        <w:t xml:space="preserve">Projekt miejscowego planu zagospodarowania przestrzennego dla części obrębu geodezyjnego Czerwona Woda sporządzony został na podstawie uchwały Nr 1299/LXXV/24 Rady Miejskiej Węglińca z dnia 21 marca 2024 r. w sprawie przystąpienia do sporządzenia miejscowego planu zagospodarowania przestrzennego dla części obrębu geodezyjnego Czerwona Woda. </w:t>
      </w:r>
    </w:p>
    <w:p w:rsidR="00F731CF" w:rsidRDefault="00000000">
      <w:pPr>
        <w:numPr>
          <w:ilvl w:val="0"/>
          <w:numId w:val="26"/>
        </w:numPr>
        <w:ind w:firstLine="340"/>
      </w:pPr>
      <w:r>
        <w:t xml:space="preserve">Projektem planu objęto tereny działek położonych w obrębie geodezyjnym Czerwona Woda, o łącznej o powierzchni 34,83 ha. </w:t>
      </w:r>
    </w:p>
    <w:p w:rsidR="00F731CF" w:rsidRDefault="00000000">
      <w:pPr>
        <w:numPr>
          <w:ilvl w:val="0"/>
          <w:numId w:val="26"/>
        </w:numPr>
        <w:ind w:firstLine="340"/>
      </w:pPr>
      <w:r>
        <w:t xml:space="preserve">W granicach projektu planu obowiązują ustalenia: </w:t>
      </w:r>
    </w:p>
    <w:p w:rsidR="00F731CF" w:rsidRDefault="00000000">
      <w:pPr>
        <w:numPr>
          <w:ilvl w:val="0"/>
          <w:numId w:val="27"/>
        </w:numPr>
        <w:ind w:hanging="227"/>
      </w:pPr>
      <w:r>
        <w:t xml:space="preserve">miejscowego planu zagospodarowania przestrzennego wsi Czerwona Woda uchwalonego uchwałą Nr 210/XVI/16 Rady Miejskiej Węglińca z dnia 23 lutego 2016r., opublikowaną w Dzienniku Urzędowym Województwa Dolnośląskiego dnia 29 lutego 2016 r. poz. 1021, </w:t>
      </w:r>
    </w:p>
    <w:p w:rsidR="00F731CF" w:rsidRDefault="00000000">
      <w:pPr>
        <w:numPr>
          <w:ilvl w:val="0"/>
          <w:numId w:val="27"/>
        </w:numPr>
        <w:ind w:hanging="227"/>
      </w:pPr>
      <w:r>
        <w:t xml:space="preserve">miejscowy plan zagospodarowania przestrzennego terenów leśnych i rolnych gminy Węgliniec uchwalony uchwałą Nr 186/XXVII/08 Rady Miejskiej w Węglińcu z dnia 30 grudnia 2008 r., opublikowaną w Dzienniku Urzędowym Województwa Dolnośląskiego nr 25/2009 z dnia 18 lutego 2009 r. poz. 620. W obowiązującym planie miejscowym tereny są przeznaczone na cele rolne (rola z zakazem zabudowy). </w:t>
      </w:r>
    </w:p>
    <w:p w:rsidR="00F731CF" w:rsidRDefault="00000000">
      <w:pPr>
        <w:numPr>
          <w:ilvl w:val="1"/>
          <w:numId w:val="27"/>
        </w:numPr>
        <w:ind w:firstLine="340"/>
      </w:pPr>
      <w:r>
        <w:t xml:space="preserve">Zgodnie z art. 67 ust 3 pkt 2 lit a ustawy z dnia 7 lipca 2023 r. o zmianie ustawy o planowaniu i zagospodarowaniu przestrzennym oraz niektórych innych ustaw (Dz. U. z 2023 r., poz. 1688) uchwalając plan miejscowy w zakresie lokalizacji urządzeń wytwarzających energię z odnawialnych źródeł energii oraz ich stref ochronnych, których nie stosuje się od dnia wejścia w życie niniejszej ustawy, przepisy art. 15 ust. 1 i art. 20 ustawy zmienianej w art. 1 stosuje się w brzmieniu dotychczasowym do dnia wejścia w życie planu ogólnego gminy w danej gminie, z wyłączeniem obowiązku sporządzenia przez wójta, burmistrza albo prezydenta miasta projektu miejscowego planu zagospodarowania przestrzennego zgodnie z zapisami studium uwarunkowań i kierunków zagospodarowania przestrzennego gminy oraz z wyłączeniem obowiązku stwierdzenia przez radę gminy, że miejscowy plan zagospodarowania przestrzennego nie narusza ustaleń tego studium. Projekt planu miejscowego został sporządzony na mapie zasadniczej w skali 1:1000 pozyskanej z państwowego zasobu geodezyjnego. </w:t>
      </w:r>
    </w:p>
    <w:p w:rsidR="00F731CF" w:rsidRDefault="00000000">
      <w:pPr>
        <w:numPr>
          <w:ilvl w:val="1"/>
          <w:numId w:val="27"/>
        </w:numPr>
        <w:ind w:firstLine="340"/>
      </w:pPr>
      <w:r>
        <w:t xml:space="preserve">Projekt miejscowego planu zagospodarowania przestrzennego dla części obrębu geodezyjnego Czerwona Woda poddany został procedurze formalno-prawnej określonej w art. 17 ustawy z dnia 27 marca 2003 r. o planowaniu i zagospodarowaniu przestrzennym (Dz. U. z 2024 r., poz. 1130, ze zm.) oraz w ustawie z dnia 3 października 2008 roku o udostępnianiu informacji o środowisku i jego ochronie, udziale społeczeństwa w ochronie środowiska oraz o ocenach oddziaływania na środowisko (Dz. U. z 2024r., poz. 1112, ze zm.) zakres opracowania jest zgodny z rozporządzeniem Ministra Rozwoju i Technologii z dnia 17 grudnia 2021 r. w sprawie wymaganego zakresu projektu miejscowego planu zagospodarowania przestrzennego (Dz. U. z 2021 r., poz. 2404). </w:t>
      </w:r>
    </w:p>
    <w:p w:rsidR="00F731CF" w:rsidRDefault="00000000">
      <w:pPr>
        <w:numPr>
          <w:ilvl w:val="1"/>
          <w:numId w:val="27"/>
        </w:numPr>
        <w:ind w:firstLine="340"/>
      </w:pPr>
      <w:r>
        <w:t xml:space="preserve">Projekt miejscowego planu zagospodarowania przestrzennego dla części obrębu geodezyjnego Czerwona Woda został przekazany do opiniowania i uzgadniania zgodnie z treścią art. 17 ust 6 ustawy </w:t>
      </w:r>
      <w:r>
        <w:lastRenderedPageBreak/>
        <w:t xml:space="preserve">z dnia 27 marca 2003 r. o planowaniu i zagospodarowaniu przestrzennym (Dz. U z 2024 r., poz. 1130, ze zm.). Ze względu na brak wstępowania takiej problematyki projekt planu miejscowego nie wymagał zaopiniowania w zakresie: lokalizacji nowych zakładów o zwiększonym lub dużym ryzyku wystąpienia poważnych awarii, o których mowa w art. 250 ust. 5 i 7 ustawy z dnia 27 kwietnia 2001 r. – Prawo ochrony środowiska, istniejących zakładów o zwiększonym lub dużym ryzyku wystąpienia poważnych awarii oraz rozmieszczenia obszarów przestrzeni publicznej i terenów zabudowy mieszkaniowej w sąsiedztwie zakładów o zwiększonym lub dużym ryzyku wystąpienia poważnych awarii, w przypadku gdy te inwestycje, obszary lub tereny zwiększają ryzyko lub skutki poważnych awarii, terenów zagrożonych osuwaniem się mas ziemnych, w zakresie sposobu zagospodarowania gruntów leżących w odległości nie większej niż: 25 m od osi napowietrznej linii elektroenergetycznej najwyższych napięć, w przypadku gdy napięcie znamionowe tej linii elektroenergetycznej wynosi 220 </w:t>
      </w:r>
      <w:proofErr w:type="spellStart"/>
      <w:r>
        <w:t>kV</w:t>
      </w:r>
      <w:proofErr w:type="spellEnd"/>
      <w:r>
        <w:t xml:space="preserve">, 40 m od osi napowietrznej linii elektroenergetycznej najwyższych napięć, w przypadku gdy napięcie znamionowe tej linii elektroenergetycznej przekracza 220 </w:t>
      </w:r>
      <w:proofErr w:type="spellStart"/>
      <w:r>
        <w:t>kV</w:t>
      </w:r>
      <w:proofErr w:type="spellEnd"/>
      <w:r>
        <w:t xml:space="preserve">, lecz jest nie większe niż 400 </w:t>
      </w:r>
      <w:proofErr w:type="spellStart"/>
      <w:r>
        <w:t>kV</w:t>
      </w:r>
      <w:proofErr w:type="spellEnd"/>
      <w:r>
        <w:t xml:space="preserve">, 70 m od osi napowietrznej linii elektroenergetycznej najwyższych napięć, w przypadku gdy napięcie znamionowe tej linii elektroenergetycznej przekracza 400 </w:t>
      </w:r>
      <w:proofErr w:type="spellStart"/>
      <w:r>
        <w:t>kV</w:t>
      </w:r>
      <w:proofErr w:type="spellEnd"/>
      <w:r>
        <w:t xml:space="preserve">, 25 m od osi linii kablowej HVDC 450 </w:t>
      </w:r>
      <w:proofErr w:type="spellStart"/>
      <w:r>
        <w:t>kV</w:t>
      </w:r>
      <w:proofErr w:type="spellEnd"/>
      <w:r>
        <w:t xml:space="preserve"> oraz żyły powrotnej, 65 metrów od osi gazociągu wysokiego ciśnienia o średnicy mniejszej niż 500 mm lub równej 500 mm, 100 metrów od osi gazociągu wysokiego ciśnienia o średnicy większej niż 500 mm, 65 m od osi gazociągu wysokiego ciśnienia o średnicy mniejszej niż 500 mm lub równej 500 mm, 100 m od osi gazociągu wysokiego ciśnienia o średnicy większej niż 500 mm, 35 m od osi gazociągu podwyższonego średniego ciśnienia o średnicy mniejszej niż 500 mm lub równej 500 mm, 50 m od osi gazociągu podwyższonego średniego ciśnienia o średnicy większej niż 500 mm, w zakresie terenów leżących w odległości nie większej niż 20 m od osi istniejącego rurociągu przesyłowego dalekosiężnego służącego do transportu ropy naftowej lub produktów naftowych; ani dokonania uzgodnień w zakresie: sposobu zagospodarowania obszarów kolejowych i terenów przyległych do obszarów kolejowych, wpływu na bezpieczeństwo ruchu kolejowego lub rozwój sieci kolejowych linii kolejowej o znaczeniu państwowym, lokalizacji inwestycji i inwestycji towarzyszących oraz obszaru otoczenia Centralnego Portu Komunikacyjnego, zagospodarowania pasa technicznego, pasa ochronnego oraz morskich portów i przystani, zagospodarowania terenów górniczych, zagospodarowania obszarów ochrony uzdrowiskowej. </w:t>
      </w:r>
    </w:p>
    <w:p w:rsidR="00F731CF" w:rsidRDefault="00000000">
      <w:pPr>
        <w:numPr>
          <w:ilvl w:val="1"/>
          <w:numId w:val="27"/>
        </w:numPr>
        <w:ind w:firstLine="340"/>
      </w:pPr>
      <w:r>
        <w:t xml:space="preserve">wymagania ochrony środowiska, w tym gospodarowania wodami i ochrony gruntów Sposób realizacji wymogów wynikających z art. 1 ust. 2–4 ustawy o planowaniu i zagospodarowaniu przestrzennym: </w:t>
      </w:r>
    </w:p>
    <w:p w:rsidR="00F731CF" w:rsidRDefault="00000000">
      <w:pPr>
        <w:numPr>
          <w:ilvl w:val="0"/>
          <w:numId w:val="28"/>
        </w:numPr>
        <w:ind w:hanging="227"/>
      </w:pPr>
      <w:r>
        <w:t xml:space="preserve">wymagania ładu przestrzennego, w tym urbanistyki i architektury: ustalenia planu miejscowego przeznaczają tereny użytkowane rolniczo, położone w oddaleniu od zwartej zabudowy wsi Czerwona Woda na cele elektrowni słonecznej. </w:t>
      </w:r>
    </w:p>
    <w:p w:rsidR="00F731CF" w:rsidRDefault="00000000">
      <w:pPr>
        <w:numPr>
          <w:ilvl w:val="0"/>
          <w:numId w:val="28"/>
        </w:numPr>
        <w:ind w:hanging="227"/>
      </w:pPr>
      <w:r>
        <w:t xml:space="preserve">potrzeby zrównoważonego rozwoju: ustalenia planu miejscowego przeznaczają tereny na cele elektrowni słonecznej umożliwiając docelowo zwiększenie udziału </w:t>
      </w:r>
      <w:proofErr w:type="spellStart"/>
      <w:r>
        <w:t>bezemisyjnej</w:t>
      </w:r>
      <w:proofErr w:type="spellEnd"/>
      <w:r>
        <w:t xml:space="preserve"> produkcji energii słonecznej w bilansie energetycznym kraju; </w:t>
      </w:r>
    </w:p>
    <w:p w:rsidR="00F731CF" w:rsidRDefault="00000000">
      <w:pPr>
        <w:numPr>
          <w:ilvl w:val="0"/>
          <w:numId w:val="28"/>
        </w:numPr>
        <w:ind w:hanging="227"/>
      </w:pPr>
      <w:r>
        <w:t xml:space="preserve">walory architektoniczne i krajobrazowe: ustalenia planu miejscowego uwzględniają walory architektoniczne i krajobrazowe obszaru objętego planem dostosowując parametry kształtowania zabudowy do lokalnych warunków i cech krajobrazu oraz wymagań technologicznych związanych z budową elektrowni słonecznej; plan wprowadza wymóg stosowania rozwiązań zmniejszających „efekt olśnienia” przez dzielenie pól ogniw fotowoltaicznych na mniejsze, wyraźnie oddzielone segmenty oraz stosowanie płaszczyzn o zmniejszonym poziomie odbicia światła (powłoki antyrefleksyjne); </w:t>
      </w:r>
    </w:p>
    <w:p w:rsidR="00F731CF" w:rsidRDefault="00000000">
      <w:pPr>
        <w:numPr>
          <w:ilvl w:val="0"/>
          <w:numId w:val="28"/>
        </w:numPr>
        <w:ind w:hanging="227"/>
      </w:pPr>
      <w:r>
        <w:t xml:space="preserve">wymagania ochrony środowiska, w tym gospodarowania wodami, ochrony gruntów rolnych i leśnych oraz ochrony złóż kopalin: </w:t>
      </w:r>
    </w:p>
    <w:p w:rsidR="00F731CF" w:rsidRDefault="00000000">
      <w:pPr>
        <w:numPr>
          <w:ilvl w:val="1"/>
          <w:numId w:val="28"/>
        </w:numPr>
        <w:ind w:hanging="227"/>
      </w:pPr>
      <w:r>
        <w:t xml:space="preserve">ustalenia planu miejscowego określają wymagania w zakresie ochrony wód gruntowych i powierzchniowych przed zanieczyszczeniami, w tym rozbudowy systemu kanalizacji sanitarnej oraz oczyszczania ścieków przemysłowych. </w:t>
      </w:r>
    </w:p>
    <w:p w:rsidR="00F731CF" w:rsidRDefault="00000000">
      <w:pPr>
        <w:numPr>
          <w:ilvl w:val="1"/>
          <w:numId w:val="28"/>
        </w:numPr>
        <w:ind w:hanging="227"/>
      </w:pPr>
      <w:r>
        <w:lastRenderedPageBreak/>
        <w:t xml:space="preserve">w projekcie planu miejscowego przeznacza się na cele elektrowni słonecznej grunty oznaczone ewidencyjnie jako grunty rolne klas IV – V (RIV, RV, ŁIV, </w:t>
      </w:r>
      <w:proofErr w:type="spellStart"/>
      <w:r>
        <w:t>PsV</w:t>
      </w:r>
      <w:proofErr w:type="spellEnd"/>
      <w:r>
        <w:t xml:space="preserve">), nie wymagające uzyskania zgody na zmianę przeznaczenia na cele nierolnicze, </w:t>
      </w:r>
    </w:p>
    <w:p w:rsidR="00F731CF" w:rsidRDefault="00000000">
      <w:pPr>
        <w:numPr>
          <w:ilvl w:val="1"/>
          <w:numId w:val="28"/>
        </w:numPr>
        <w:ind w:hanging="227"/>
      </w:pPr>
      <w:r>
        <w:t xml:space="preserve">w granicach obszaru objętego planem nie występują tereny złóż kopalin; </w:t>
      </w:r>
    </w:p>
    <w:p w:rsidR="00F731CF" w:rsidRDefault="00000000">
      <w:pPr>
        <w:numPr>
          <w:ilvl w:val="0"/>
          <w:numId w:val="28"/>
        </w:numPr>
        <w:ind w:hanging="227"/>
      </w:pPr>
      <w:r>
        <w:t xml:space="preserve">w granicach obszaru objętego planem nie występują tereny i obiekty wymagające ustalenia wymagań w zakresie ochrony dziedzictwa kulturowego i zabytków oraz dóbr kultury współczesnej. </w:t>
      </w:r>
    </w:p>
    <w:p w:rsidR="00F731CF" w:rsidRDefault="00000000">
      <w:pPr>
        <w:numPr>
          <w:ilvl w:val="0"/>
          <w:numId w:val="28"/>
        </w:numPr>
        <w:ind w:hanging="227"/>
      </w:pPr>
      <w:r>
        <w:t xml:space="preserve">wymagania ochrony zdrowia oraz bezpieczeństwa ludzi i mienia, także potrzeby osób ze szczególnymi potrzebami, o których mowa w ustawie z dnia 19 lipca 2019 r. o zapewnianiu dostępności osobom ze szczególnymi potrzebami (Dz. U. z 2022 r. poz. 2240 oraz z 2024 r. poz. 731): </w:t>
      </w:r>
    </w:p>
    <w:p w:rsidR="00F731CF" w:rsidRDefault="00000000">
      <w:pPr>
        <w:numPr>
          <w:ilvl w:val="0"/>
          <w:numId w:val="29"/>
        </w:numPr>
        <w:ind w:hanging="227"/>
      </w:pPr>
      <w:r>
        <w:t xml:space="preserve">w planie określono wymagania w zakresie wyznaczania miejsc parkingowych przeznaczonych na parkowanie pojazdów zaopatrzonych w kartę parkingową, </w:t>
      </w:r>
    </w:p>
    <w:p w:rsidR="00F731CF" w:rsidRDefault="00000000">
      <w:pPr>
        <w:numPr>
          <w:ilvl w:val="0"/>
          <w:numId w:val="29"/>
        </w:numPr>
        <w:ind w:hanging="227"/>
      </w:pPr>
      <w:r>
        <w:t xml:space="preserve">plan nie wprowadza ustaleń mogących mieć negatywny wpływ na potrzeby osób ze szczególnymi potrzebami. </w:t>
      </w:r>
    </w:p>
    <w:p w:rsidR="00F731CF" w:rsidRDefault="00000000">
      <w:pPr>
        <w:numPr>
          <w:ilvl w:val="0"/>
          <w:numId w:val="30"/>
        </w:numPr>
        <w:ind w:hanging="227"/>
      </w:pPr>
      <w:r>
        <w:t xml:space="preserve">potrzeby zapobiegania poważnym awariom i ograniczanie ich skutków dla zdrowia ludzkiego i środowiska: plan miejscowy nie wprowadza ustaleń mogących mieć wpływ na wzrost zagrożenia powstawaniem poważnych awarii mających wpływ dla zdrowie ludzi i środowisko; </w:t>
      </w:r>
    </w:p>
    <w:p w:rsidR="00F731CF" w:rsidRDefault="00000000">
      <w:pPr>
        <w:numPr>
          <w:ilvl w:val="0"/>
          <w:numId w:val="30"/>
        </w:numPr>
        <w:ind w:hanging="227"/>
      </w:pPr>
      <w:r>
        <w:t xml:space="preserve">potrzeby związane z kształtowaniem rolniczej przestrzeni produkcyjnej i rozwoju produkcji rolniczej: w projekcie planu miejscowego przeznacza się na cele elektrowni słonecznej grunty niskich klas bonitacyjnych, oznaczonych ewidencyjnie jako grunty rolne klas IV – V (RIV, RV, ŁIV, </w:t>
      </w:r>
      <w:proofErr w:type="spellStart"/>
      <w:r>
        <w:t>PsV</w:t>
      </w:r>
      <w:proofErr w:type="spellEnd"/>
      <w:r>
        <w:t xml:space="preserve">), położone wśród terenów leśnych i zadrzewionych, o niewielkiej przydatności dla rozwoju produkcji rolniczej; </w:t>
      </w:r>
    </w:p>
    <w:p w:rsidR="00F731CF" w:rsidRDefault="00000000">
      <w:pPr>
        <w:numPr>
          <w:ilvl w:val="0"/>
          <w:numId w:val="30"/>
        </w:numPr>
        <w:ind w:hanging="227"/>
      </w:pPr>
      <w:r>
        <w:t xml:space="preserve">walory ekonomiczne przestrzeni: plan miejscowy uwzględnia walory ekonomiczne przestrzeni przez wykorzystanie dla celów planowanej zabudowy elektrowni słonecznej gruntów użytkowanych rolniczo o niskiej przydatności dla produkcji rolnej; </w:t>
      </w:r>
    </w:p>
    <w:p w:rsidR="00F731CF" w:rsidRDefault="00000000">
      <w:pPr>
        <w:numPr>
          <w:ilvl w:val="0"/>
          <w:numId w:val="30"/>
        </w:numPr>
        <w:ind w:hanging="227"/>
      </w:pPr>
      <w:r>
        <w:t xml:space="preserve">prawo własności: plan miejscowy uwzględnia w maksymalnym stopniu prawo własności przez przeznaczenie terenu zgodnie z wnioskami właściciela terenu oraz przez partycypację społeczną w trakcie sporządzania planu. </w:t>
      </w:r>
    </w:p>
    <w:p w:rsidR="00F731CF" w:rsidRDefault="00000000">
      <w:pPr>
        <w:numPr>
          <w:ilvl w:val="0"/>
          <w:numId w:val="30"/>
        </w:numPr>
        <w:spacing w:after="109"/>
        <w:ind w:hanging="227"/>
      </w:pPr>
      <w:r>
        <w:t xml:space="preserve">potrzeby obronności i bezpieczeństwa państwa: plan miejscowy nie wprowadza ustaleń mogących mieć negatywny wpływ na potrzeby obronności i bezpieczeństwa państwa. </w:t>
      </w:r>
    </w:p>
    <w:p w:rsidR="00F731CF" w:rsidRDefault="00000000">
      <w:pPr>
        <w:numPr>
          <w:ilvl w:val="0"/>
          <w:numId w:val="30"/>
        </w:numPr>
        <w:ind w:hanging="227"/>
      </w:pPr>
      <w:r>
        <w:t xml:space="preserve">potrzeby interesu publicznego: plan miejscowy uwzględnia potrzeby interesu publicznego przez zapewnienie warunków dostępności terenu do dróg publicznych oraz warunków realizacji podstawowej infrastruktury technicznej. </w:t>
      </w:r>
    </w:p>
    <w:p w:rsidR="00F731CF" w:rsidRDefault="00000000">
      <w:pPr>
        <w:numPr>
          <w:ilvl w:val="0"/>
          <w:numId w:val="30"/>
        </w:numPr>
        <w:ind w:hanging="227"/>
      </w:pPr>
      <w:r>
        <w:t xml:space="preserve">potrzeby w zakresie rozwoju infrastruktury technicznej, w szczególności sieci szerokopasmowych: plan miejscowy uwzględnia potrzeby w zakresie rozwoju infrastruktury technicznej przez zapewnienie warunków realizacji podstawowej infrastruktury technicznej, w tym sieci szerokopasmowych. </w:t>
      </w:r>
    </w:p>
    <w:p w:rsidR="00F731CF" w:rsidRDefault="00000000">
      <w:pPr>
        <w:numPr>
          <w:ilvl w:val="0"/>
          <w:numId w:val="30"/>
        </w:numPr>
        <w:ind w:hanging="227"/>
      </w:pPr>
      <w:r>
        <w:t xml:space="preserve">zapewnienie udziału społeczeństwa w pracach nad miejscowym planem zagospodarowania przestrzennego, zachowanie jawności i przejrzystości procedur planistycznych: </w:t>
      </w:r>
    </w:p>
    <w:p w:rsidR="00F731CF" w:rsidRDefault="00000000">
      <w:pPr>
        <w:numPr>
          <w:ilvl w:val="1"/>
          <w:numId w:val="30"/>
        </w:numPr>
        <w:ind w:hanging="227"/>
      </w:pPr>
      <w:r>
        <w:t xml:space="preserve">ogłoszenie prasowe i obwieszczenie o przystąpieniu do sporządzenia miejscowego planu zagospodarowania przestrzennego dla części obrębu geodezyjnego Czerwona Woda wraz ze strategiczną oceną oddziaływania na środowisko zostały zamieszczone w prasie lokalnej z dnia 26 czerwca 2024 r. (Gazeta Wrocławska) i wywieszone na tablicach ogłoszeń oraz na stronie Biuletynu Informacji Publicznej w dniach od 26.06.2024 do 17.07.2024r. zgodnie z wymaganiami art. 17 ust. 1 ustawy z dnia 27 marca 2003 r. o planowaniu i zagospodarowaniu przestrzennym (Dz. U. z 2024 r., poz. 1130, ze zm.) oraz w ustawie z dnia 3 października 2008 roku o udostępnianiu informacji o środowisku i jego ochronie, udziale społeczeństwa w ochronie środowiska oraz o ocenach oddziaływania na środowisko (Dz. U. z 2024 r., poz. 1112, ze zm.), </w:t>
      </w:r>
    </w:p>
    <w:p w:rsidR="00F731CF" w:rsidRDefault="00000000">
      <w:pPr>
        <w:numPr>
          <w:ilvl w:val="1"/>
          <w:numId w:val="30"/>
        </w:numPr>
        <w:ind w:hanging="227"/>
      </w:pPr>
      <w:r>
        <w:t xml:space="preserve">w terminie określonym w </w:t>
      </w:r>
      <w:proofErr w:type="spellStart"/>
      <w:r>
        <w:t>ww</w:t>
      </w:r>
      <w:proofErr w:type="spellEnd"/>
      <w:r>
        <w:t xml:space="preserve"> ogłoszeniu i obwieszczeniu (tj. do dnia 17.07.2024 r.) nie złożono wniosków zgodnie z art. 17 ust. 1 ustawy z dnia 27 marca 2003 r. o planowaniu i zagospodarowaniu przestrzennym (Dz. U. z 2024 r., poz. 1130, ze zm.), </w:t>
      </w:r>
    </w:p>
    <w:p w:rsidR="00F731CF" w:rsidRDefault="00000000">
      <w:pPr>
        <w:numPr>
          <w:ilvl w:val="1"/>
          <w:numId w:val="30"/>
        </w:numPr>
        <w:ind w:hanging="227"/>
      </w:pPr>
      <w:r>
        <w:lastRenderedPageBreak/>
        <w:t xml:space="preserve">konsultacje społeczne dotyczące sporządzenia miejscowego planu zagospodarowania przestrzennego dla części obrębu geodezyjnego Czerwona Woda przeprowadzone zostały w dniach od 6 października do 3 listopada 2025 r. w siedzibie Urzędu Gminy i Miasta Węgliniec, ul. Sikorskiego 3, 59-940 Węgliniec, w godzinach pracy urzędu. W ramach konsultacji przeprowadzono: ·zbieranie uwag do </w:t>
      </w:r>
      <w:proofErr w:type="spellStart"/>
      <w:r>
        <w:t>ww</w:t>
      </w:r>
      <w:proofErr w:type="spellEnd"/>
      <w:r>
        <w:t xml:space="preserve"> projektu planu miejscowego w dniach od 6 października do 3 listopada 2025 </w:t>
      </w:r>
      <w:proofErr w:type="spellStart"/>
      <w:r>
        <w:t>r</w:t>
      </w:r>
      <w:r>
        <w:rPr>
          <w:b/>
        </w:rPr>
        <w:t>.</w:t>
      </w:r>
      <w:r>
        <w:t>·zbieranie</w:t>
      </w:r>
      <w:proofErr w:type="spellEnd"/>
      <w:r>
        <w:t xml:space="preserve"> wniosków i uwag do prognozy oddziaływania na środowisko od 6 października do 3 listopada 2025 r. ·spotkanie otwarte poprzedzone prezentacją </w:t>
      </w:r>
      <w:proofErr w:type="spellStart"/>
      <w:r>
        <w:t>ww</w:t>
      </w:r>
      <w:proofErr w:type="spellEnd"/>
      <w:r>
        <w:t xml:space="preserve"> projektu planu miejscowego w dniu 14 października 2025 r. o godz. 15.30 w siedzibie Urzędu Gminy i Miasta Węgliniec, ul. Sikorskiego 3, 59-940 Węgliniec. ·dyżur projektanta w siedzibie Urzędu Gminy i Miasta Węgliniec, ul. Sikorskiego 3, 59-940 Węgliniec w dniu 21 października 2025 r. w godz. 15</w:t>
      </w:r>
      <w:r>
        <w:rPr>
          <w:vertAlign w:val="superscript"/>
        </w:rPr>
        <w:t>00</w:t>
      </w:r>
      <w:r>
        <w:t xml:space="preserve"> – 16</w:t>
      </w:r>
      <w:r>
        <w:rPr>
          <w:vertAlign w:val="superscript"/>
        </w:rPr>
        <w:t>00</w:t>
      </w:r>
      <w:r>
        <w:t xml:space="preserve"> .Informacje o przeprowadzeniu konsultacji społecznych zostały zgodnie z art. 8h i na podstawie art. 17 pkt 11 ustawy z dnia 27 marca 2003 r. o planowaniu i zagospodarowaniu przestrzennym (</w:t>
      </w:r>
      <w:proofErr w:type="spellStart"/>
      <w:r>
        <w:t>t.j</w:t>
      </w:r>
      <w:proofErr w:type="spellEnd"/>
      <w:r>
        <w:t>. Dz. U. z 2024 r. poz. 1130, ze zm.), art. 39 ust. 1 pkt 2-5, w związku z art. 46 pkt 2 i art. 54 ust. 2 ustawy z dnia 3 października 2008 r. o udostępnianiu informacji o środowisku i jego ochronie, udziale społeczeństwa w ochronie środowiska oraz o ocenach oddziaływania na środowisko (</w:t>
      </w:r>
      <w:proofErr w:type="spellStart"/>
      <w:r>
        <w:t>t.j</w:t>
      </w:r>
      <w:proofErr w:type="spellEnd"/>
      <w:r>
        <w:t xml:space="preserve">. Dz. U. z 2024 r. poz. 1112, ze zm.) upowszechnione przez: ·ogłoszenie w prasie lokalnej – „Gazeta Regionalna” z dnia 1 października 2025 r. ·wywieszenie ogłoszenia w siedzibie Urzędu Gminy i Miasta Węgliniec oraz na tablicy ogłoszeń w Czerwonej Wodzie, ·udostępnienie informacji na stronie internetowej i na stronie Biuletynu Informacji Publicznej Urzędu Gminy i Miasta Węgliniec,  ·wywieszenie ogłoszenia w siedzibie Urzędu Gminy i Miasta Węgliniec w sposób zwyczajowo przyjęty w Gminie Węgliniec. W spotkaniu otwartym w dniu 14 października 2025 r. nie wzięły udziału żadne osoby zainteresowane.  Podczas dyżuru projektanta projektu planu miejscowego w dniu 21 października 2025r. zgłosiły się 2 zainteresowane osoby. Główny projektant planu mgr Lesław Witkowski przedstawił zebranym podstawowe założenia i ustalenia projektu planu oraz wyjaśnił dalsze etapy procedury planistycznej. Uczestnicy spotkania nie wnieśli żadnych uwag i wniosków do projektu planu ani do prognozy oddziaływania na środowisko sporządzonej do projektu planu. W terminie wskazanym w ogłoszeniu tj. w dniach od 6 października do 3 listopada 2025 r. nie złożono żadnych uwag do projektu miejscowego planu zagospodarowania przestrzennego dla części obrębu geodezyjnego Czerwona Woda. </w:t>
      </w:r>
    </w:p>
    <w:p w:rsidR="00F731CF" w:rsidRDefault="00000000">
      <w:pPr>
        <w:numPr>
          <w:ilvl w:val="0"/>
          <w:numId w:val="30"/>
        </w:numPr>
        <w:ind w:hanging="227"/>
      </w:pPr>
      <w:r>
        <w:t xml:space="preserve">potrzeby zapewnienia odpowiedniej ilości i jakości wody, do celów zaopatrzenia ludności: nie dotyczy - ustalenia planu dotyczą przeznaczenia terenów na cele zabudowy elektrowni słonecznej. </w:t>
      </w:r>
    </w:p>
    <w:p w:rsidR="00F731CF" w:rsidRDefault="00000000">
      <w:pPr>
        <w:numPr>
          <w:ilvl w:val="0"/>
          <w:numId w:val="30"/>
        </w:numPr>
        <w:ind w:hanging="227"/>
      </w:pPr>
      <w:r>
        <w:t xml:space="preserve">ustalając przeznaczenie terenu lub określając potencjalny sposób zagospodarowania i korzystania z terenu, dokonano oceny wagi interesu publicznego i interesów prywatnych (w tym zgłaszanych w postaci wniosków i uwag, zmierzających do ochrony istniejącego stanu zagospodarowania terenu, jak i zmian w zakresie jego zagospodarowania). Na potrzeby opracowanej zmiany planu miejscowego nie było możliwości uwzględniania szczególnych analiz ekonomicznych, środowiskowych i społecznych ze względu na ich brak. </w:t>
      </w:r>
    </w:p>
    <w:p w:rsidR="00F731CF" w:rsidRDefault="00000000">
      <w:pPr>
        <w:numPr>
          <w:ilvl w:val="0"/>
          <w:numId w:val="30"/>
        </w:numPr>
        <w:ind w:hanging="227"/>
      </w:pPr>
      <w:r>
        <w:t xml:space="preserve">zgodnie z art. 67 ust 3 pkt 2 lit a ustawy z dnia 7 lipca 2023 r. o zmianie ustawy o planowaniu i zagospodarowaniu przestrzennym oraz niektórych innych ustaw (Dz. U. z 2023 r., poz. 1688), przepisy art. 15 ust. 1 i art. 20 ustawy zmienianej w art. 1 stosuje się w brzmieniu dotychczasowym do dnia wejścia w życie planu ogólnego gminy w danej gminie, z wyłączeniem obowiązku sporządzenia przez wójta, burmistrza albo prezydenta miasta projektu miejscowego planu zagospodarowania przestrzennego zgodnie z zapisami studium uwarunkowań i kierunków zagospodarowania przestrzennego gminy oraz z wyłączeniem obowiązku stwierdzenia przez radę gminy, że miejscowy plan zagospodarowania przestrzennego nie narusza ustaleń tego studium: w zakresie lokalizacji urządzeń wytwarzających energię z odnawialnych źródeł energii oraz ich stref ochronnych, których nie stosuje się od dnia wejścia w życie niniejszej ustawy, </w:t>
      </w:r>
    </w:p>
    <w:p w:rsidR="00F731CF" w:rsidRDefault="00000000">
      <w:pPr>
        <w:numPr>
          <w:ilvl w:val="0"/>
          <w:numId w:val="30"/>
        </w:numPr>
        <w:ind w:hanging="227"/>
      </w:pPr>
      <w:r>
        <w:t xml:space="preserve">struktura przestrzenna obszaru objętego planem miejscowym jest uwarunkowana przeznaczeniem terenów na cele zabudowy elektrowni słonecznej, w tym przypadku nie ma znaczenia dążenie do minimalizowania transportochłonności układu przestrzennego. </w:t>
      </w:r>
    </w:p>
    <w:p w:rsidR="00F731CF" w:rsidRDefault="00000000">
      <w:pPr>
        <w:numPr>
          <w:ilvl w:val="0"/>
          <w:numId w:val="30"/>
        </w:numPr>
        <w:ind w:hanging="227"/>
      </w:pPr>
      <w:r>
        <w:t xml:space="preserve">rozwiązania przestrzenne planu miejscowego nie wpływają negatywnie na warunki przemieszczania się pieszych i rowerzystów; </w:t>
      </w:r>
    </w:p>
    <w:p w:rsidR="00F731CF" w:rsidRDefault="00000000">
      <w:pPr>
        <w:numPr>
          <w:ilvl w:val="0"/>
          <w:numId w:val="30"/>
        </w:numPr>
        <w:ind w:hanging="227"/>
      </w:pPr>
      <w:r>
        <w:t xml:space="preserve">zabudowa elektrowni słonecznej została wyznaczona w oddaleniu od wykształconej struktury funkcjonalno-przestrzennej wsi Czerwona Woda; planowana zabudowa została wyznaczona na obszarze </w:t>
      </w:r>
      <w:r>
        <w:lastRenderedPageBreak/>
        <w:t xml:space="preserve">charakteryzującym się korzystnym dostępem do sieci komunikacyjnej oraz stopniem wyposażenia w sieci infrastruktury technicznej adekwatnych dla nowej, planowanej zabudowy. </w:t>
      </w:r>
    </w:p>
    <w:p w:rsidR="00F731CF" w:rsidRDefault="00000000">
      <w:pPr>
        <w:numPr>
          <w:ilvl w:val="1"/>
          <w:numId w:val="31"/>
        </w:numPr>
        <w:ind w:firstLine="340"/>
      </w:pPr>
      <w:r>
        <w:t xml:space="preserve">Zgodność z wynikami analizy, o której mowa w art. 32 ust. 1, wraz datą uchwały rady gminy, o której mowa w art. 32 ust. 2 ustawy z dnia 27 marca 2003 r. o planowaniu i zagospodarowaniu przestrzennym (Dz. U. z 2024 r., poz. 1130, ze zm.) – opracowanie projektu miejscowego planu zagospodarowania przestrzennego dla części obrębu geodezyjnego Czerwona Woda jest zgodne z przeprowadzoną „Oceną aktualności Studium uwarunkowań i kierunków zagospodarowania przestrzennego Gminy Węgliniec oraz miejscowych planów zagospodarowania przestrzennego na terenie Gminy Węgliniec”. </w:t>
      </w:r>
    </w:p>
    <w:p w:rsidR="00F731CF" w:rsidRDefault="00000000">
      <w:pPr>
        <w:numPr>
          <w:ilvl w:val="1"/>
          <w:numId w:val="31"/>
        </w:numPr>
        <w:ind w:firstLine="340"/>
      </w:pPr>
      <w:r>
        <w:t xml:space="preserve">Wpływ na finanse publiczne, w tym budżet gminy: </w:t>
      </w:r>
    </w:p>
    <w:p w:rsidR="00F731CF" w:rsidRDefault="00000000">
      <w:pPr>
        <w:numPr>
          <w:ilvl w:val="0"/>
          <w:numId w:val="32"/>
        </w:numPr>
        <w:ind w:hanging="227"/>
      </w:pPr>
      <w:r>
        <w:t xml:space="preserve">realizacja ustaleń planu miejscowego prawdopodobnie będzie dla gminy korzystna finansowo (NPV dodatnie). Warunkiem trafności prognozy jest spełnienie przyjętych wcześniej założeń w </w:t>
      </w:r>
      <w:proofErr w:type="gramStart"/>
      <w:r>
        <w:t>oparciu</w:t>
      </w:r>
      <w:proofErr w:type="gramEnd"/>
      <w:r>
        <w:t xml:space="preserve"> o które została ona sporządzona, </w:t>
      </w:r>
    </w:p>
    <w:p w:rsidR="00F731CF" w:rsidRDefault="00000000">
      <w:pPr>
        <w:numPr>
          <w:ilvl w:val="0"/>
          <w:numId w:val="32"/>
        </w:numPr>
        <w:ind w:hanging="227"/>
      </w:pPr>
      <w:r>
        <w:t xml:space="preserve">wprowadzenie w życie ustaleń planu miejscowego powinno spowodować przyrost nowych powierzchni obiektów budowlanych o charakterze produkcji energii elektrycznej (elektrownia słoneczna) co w perspektywie czasowej pozwoli gminie uzyskać źródło stabilnych i długotrwałych wpływów z tytułu podatku od nieruchomości, które zazwyczaj są stosunkowo łatwe do egzekucji a także zabezpieczy potrzeby lokalnej społeczności w zakresie dostępu do energii elektrycznej, </w:t>
      </w:r>
    </w:p>
    <w:p w:rsidR="00F731CF" w:rsidRDefault="00000000">
      <w:pPr>
        <w:numPr>
          <w:ilvl w:val="0"/>
          <w:numId w:val="32"/>
        </w:numPr>
        <w:ind w:hanging="227"/>
      </w:pPr>
      <w:r>
        <w:t xml:space="preserve">zgodnie z ustaleniami planu zawartymi w treści uchwały nie przewiduje się realizacji inwestycji z zakresu infrastruktury technicznej należących do zadań własnych gminy. </w:t>
      </w:r>
    </w:p>
    <w:p w:rsidR="00F731CF" w:rsidRDefault="00F731CF">
      <w:pPr>
        <w:sectPr w:rsidR="00F731CF">
          <w:footerReference w:type="even" r:id="rId7"/>
          <w:footerReference w:type="default" r:id="rId8"/>
          <w:footerReference w:type="first" r:id="rId9"/>
          <w:pgSz w:w="11906" w:h="16838"/>
          <w:pgMar w:top="1470" w:right="1020" w:bottom="1037" w:left="1020" w:header="708" w:footer="262" w:gutter="0"/>
          <w:cols w:space="708"/>
        </w:sectPr>
      </w:pPr>
    </w:p>
    <w:p w:rsidR="00F731CF" w:rsidRDefault="00000000">
      <w:pPr>
        <w:spacing w:after="739" w:line="259" w:lineRule="auto"/>
        <w:ind w:left="269" w:firstLine="0"/>
        <w:jc w:val="left"/>
      </w:pPr>
      <w:r>
        <w:rPr>
          <w:noProof/>
        </w:rPr>
        <w:lastRenderedPageBreak/>
        <w:drawing>
          <wp:inline distT="0" distB="0" distL="0" distR="0">
            <wp:extent cx="17102330" cy="18086834"/>
            <wp:effectExtent l="0" t="0" r="0" b="0"/>
            <wp:docPr id="28673" name="Picture 28673"/>
            <wp:cNvGraphicFramePr/>
            <a:graphic xmlns:a="http://schemas.openxmlformats.org/drawingml/2006/main">
              <a:graphicData uri="http://schemas.openxmlformats.org/drawingml/2006/picture">
                <pic:pic xmlns:pic="http://schemas.openxmlformats.org/drawingml/2006/picture">
                  <pic:nvPicPr>
                    <pic:cNvPr id="28673" name="Picture 28673"/>
                    <pic:cNvPicPr/>
                  </pic:nvPicPr>
                  <pic:blipFill>
                    <a:blip r:embed="rId10"/>
                    <a:stretch>
                      <a:fillRect/>
                    </a:stretch>
                  </pic:blipFill>
                  <pic:spPr>
                    <a:xfrm>
                      <a:off x="0" y="0"/>
                      <a:ext cx="17102330" cy="18086834"/>
                    </a:xfrm>
                    <a:prstGeom prst="rect">
                      <a:avLst/>
                    </a:prstGeom>
                  </pic:spPr>
                </pic:pic>
              </a:graphicData>
            </a:graphic>
          </wp:inline>
        </w:drawing>
      </w:r>
    </w:p>
    <w:p w:rsidR="00F731CF" w:rsidRDefault="00000000">
      <w:pPr>
        <w:pStyle w:val="Nagwek1"/>
        <w:ind w:left="-5" w:right="-15"/>
      </w:pPr>
      <w:r>
        <w:lastRenderedPageBreak/>
        <w:t>–––––––––––––––––––––––––––––––––––––––––––––––––––––––––––––––––––––––––––––––––––––––––––––––––––––––––––––––––––––––––––––––––––––––––––––––––––––––––––––––––––––––––––––––––––––––––––––––––––––––––––––––––––––––––––––––––––––</w:t>
      </w:r>
    </w:p>
    <w:p w:rsidR="00F731CF" w:rsidRDefault="00000000">
      <w:pPr>
        <w:tabs>
          <w:tab w:val="right" w:pos="27480"/>
        </w:tabs>
        <w:spacing w:after="131" w:line="259" w:lineRule="auto"/>
        <w:ind w:left="-15" w:right="-15" w:firstLine="0"/>
        <w:jc w:val="left"/>
      </w:pPr>
      <w:r>
        <w:rPr>
          <w:sz w:val="18"/>
        </w:rPr>
        <w:t>Id: B93AEB9D-B77D-4DCD-9163-9C9B43761A07. Podpisany</w:t>
      </w:r>
      <w:r>
        <w:rPr>
          <w:sz w:val="18"/>
        </w:rPr>
        <w:tab/>
        <w:t>Strona 1</w:t>
      </w:r>
    </w:p>
    <w:p w:rsidR="00F731CF" w:rsidRDefault="00F731CF">
      <w:pPr>
        <w:sectPr w:rsidR="00F731CF">
          <w:footerReference w:type="even" r:id="rId11"/>
          <w:footerReference w:type="default" r:id="rId12"/>
          <w:footerReference w:type="first" r:id="rId13"/>
          <w:pgSz w:w="29480" w:h="31180"/>
          <w:pgMar w:top="1344" w:right="1000" w:bottom="1353" w:left="1000" w:header="708" w:footer="708" w:gutter="0"/>
          <w:cols w:space="708"/>
        </w:sectPr>
      </w:pPr>
    </w:p>
    <w:p w:rsidR="00F731CF" w:rsidRDefault="00000000">
      <w:pPr>
        <w:spacing w:after="120" w:line="357" w:lineRule="auto"/>
        <w:ind w:left="5100" w:right="820"/>
        <w:jc w:val="left"/>
      </w:pPr>
      <w:r>
        <w:lastRenderedPageBreak/>
        <w:t xml:space="preserve">Załącznik nr 2 do uchwały nr 352/XXII/2025 Rady Miejskiej Węglińca z dnia 18 grudnia 2025 r. </w:t>
      </w:r>
    </w:p>
    <w:p w:rsidR="00F731CF" w:rsidRDefault="00000000">
      <w:pPr>
        <w:pStyle w:val="Nagwek2"/>
        <w:spacing w:after="0" w:line="259" w:lineRule="auto"/>
        <w:ind w:left="0" w:firstLine="0"/>
        <w:jc w:val="center"/>
      </w:pPr>
      <w:r>
        <w:t xml:space="preserve">ROZSTRZYGNIĘCIE </w:t>
      </w:r>
    </w:p>
    <w:p w:rsidR="00F731CF" w:rsidRDefault="00000000">
      <w:pPr>
        <w:spacing w:after="0" w:line="240" w:lineRule="auto"/>
        <w:ind w:left="935" w:right="764" w:hanging="171"/>
        <w:jc w:val="center"/>
      </w:pPr>
      <w:r>
        <w:rPr>
          <w:b/>
        </w:rPr>
        <w:t xml:space="preserve">o sposobie realizacji, zapisanych w miejscowym planie zagospodarowania przestrzennego dla części obrębu geodezyjnego Czerwona Woda inwestycji z zakresu infrastruktury </w:t>
      </w:r>
    </w:p>
    <w:p w:rsidR="00F731CF" w:rsidRDefault="00000000">
      <w:pPr>
        <w:spacing w:after="478" w:line="240" w:lineRule="auto"/>
        <w:ind w:left="581" w:right="525" w:firstLine="0"/>
        <w:jc w:val="center"/>
      </w:pPr>
      <w:r>
        <w:rPr>
          <w:b/>
        </w:rPr>
        <w:t>technicznej, które należą do zadań własnych gminy oraz zasadach ich finansowania, zgodnie z przepisami o finansach publicznych</w:t>
      </w:r>
      <w:r>
        <w:t xml:space="preserve"> </w:t>
      </w:r>
    </w:p>
    <w:p w:rsidR="00F731CF" w:rsidRDefault="00000000">
      <w:pPr>
        <w:spacing w:after="10886" w:line="238" w:lineRule="auto"/>
        <w:ind w:left="5" w:right="-5" w:firstLine="227"/>
        <w:jc w:val="left"/>
      </w:pPr>
      <w:r>
        <w:t xml:space="preserve">Zgodnie z ustaleniami planu zawartymi w treści uchwały nie przewiduje się realizacji inwestycji z zakresu infrastruktury technicznej należących do zadań własnych gminy. </w:t>
      </w:r>
    </w:p>
    <w:p w:rsidR="00F731CF" w:rsidRDefault="00000000">
      <w:pPr>
        <w:pStyle w:val="Nagwek1"/>
        <w:ind w:left="-5" w:right="-15"/>
      </w:pPr>
      <w:r>
        <w:lastRenderedPageBreak/>
        <w:t>–––––––––––––––––––––––––––––––––––––––––––––––––––––––––––––––––––––––––––––––––––</w:t>
      </w:r>
    </w:p>
    <w:p w:rsidR="00F731CF" w:rsidRDefault="00000000">
      <w:pPr>
        <w:tabs>
          <w:tab w:val="right" w:pos="9906"/>
        </w:tabs>
        <w:spacing w:after="131" w:line="259" w:lineRule="auto"/>
        <w:ind w:left="-15" w:right="-15" w:firstLine="0"/>
        <w:jc w:val="left"/>
      </w:pPr>
      <w:r>
        <w:rPr>
          <w:sz w:val="18"/>
        </w:rPr>
        <w:t>Id: B93AEB9D-B77D-4DCD-9163-9C9B43761A07. Podpisany</w:t>
      </w:r>
      <w:r>
        <w:rPr>
          <w:sz w:val="18"/>
        </w:rPr>
        <w:tab/>
        <w:t>Strona 1</w:t>
      </w:r>
    </w:p>
    <w:p w:rsidR="00F731CF" w:rsidRDefault="00000000">
      <w:pPr>
        <w:spacing w:after="98" w:line="259" w:lineRule="auto"/>
        <w:ind w:left="20" w:firstLine="0"/>
        <w:jc w:val="left"/>
      </w:pPr>
      <w:r>
        <w:t xml:space="preserve"> </w:t>
      </w:r>
    </w:p>
    <w:p w:rsidR="00F731CF" w:rsidRDefault="00000000">
      <w:pPr>
        <w:spacing w:after="0" w:line="357" w:lineRule="auto"/>
        <w:ind w:left="4555" w:firstLine="0"/>
        <w:jc w:val="left"/>
      </w:pPr>
      <w:r>
        <w:t xml:space="preserve">Załącznik nr 3 do uchwały nr 352/XXII/2025 Rady Miejskiej Węglińca z dnia 18 grudnia 2025 r. </w:t>
      </w:r>
    </w:p>
    <w:p w:rsidR="00F731CF" w:rsidRDefault="00000000">
      <w:pPr>
        <w:spacing w:after="224" w:line="259" w:lineRule="auto"/>
        <w:ind w:left="579" w:firstLine="0"/>
        <w:jc w:val="center"/>
      </w:pPr>
      <w:r>
        <w:t xml:space="preserve">Zalacznik3.xml </w:t>
      </w:r>
    </w:p>
    <w:p w:rsidR="00F731CF" w:rsidRDefault="00000000">
      <w:pPr>
        <w:spacing w:after="12376" w:line="240" w:lineRule="auto"/>
        <w:ind w:left="174" w:right="119" w:firstLine="0"/>
        <w:jc w:val="center"/>
      </w:pPr>
      <w:r>
        <w:rPr>
          <w:b/>
        </w:rPr>
        <w:t xml:space="preserve">Dane przestrzenne, o których mowa w art. 67a ust. 3 i 5 ustawy z dnia 27 marca 2003 r. o planowaniu i zagospodarowaniu przestrzennym (j.t. Dz.U. z 2022 r. poz. 503 z </w:t>
      </w:r>
      <w:proofErr w:type="spellStart"/>
      <w:r>
        <w:rPr>
          <w:b/>
        </w:rPr>
        <w:t>późn</w:t>
      </w:r>
      <w:proofErr w:type="spellEnd"/>
      <w:r>
        <w:rPr>
          <w:b/>
        </w:rPr>
        <w:t>. zm.) ujawnione zostaną po kliknięciu w ikonę</w:t>
      </w:r>
      <w:r>
        <w:t xml:space="preserve"> </w:t>
      </w:r>
    </w:p>
    <w:p w:rsidR="00F731CF" w:rsidRDefault="00000000">
      <w:pPr>
        <w:pStyle w:val="Nagwek1"/>
        <w:ind w:left="-5" w:right="-15"/>
      </w:pPr>
      <w:r>
        <w:lastRenderedPageBreak/>
        <w:t>–––––––––––––––––––––––––––––––––––––––––––––––––––––––––––––––––––––––––––––––––––</w:t>
      </w:r>
    </w:p>
    <w:p w:rsidR="00F731CF" w:rsidRDefault="00000000">
      <w:pPr>
        <w:tabs>
          <w:tab w:val="right" w:pos="9906"/>
        </w:tabs>
        <w:spacing w:after="131" w:line="259" w:lineRule="auto"/>
        <w:ind w:left="-15" w:right="-15" w:firstLine="0"/>
        <w:jc w:val="left"/>
      </w:pPr>
      <w:r>
        <w:rPr>
          <w:sz w:val="18"/>
        </w:rPr>
        <w:t>Id: B93AEB9D-B77D-4DCD-9163-9C9B43761A07. Podpisany</w:t>
      </w:r>
      <w:r>
        <w:rPr>
          <w:sz w:val="18"/>
        </w:rPr>
        <w:tab/>
        <w:t>Strona 1</w:t>
      </w:r>
    </w:p>
    <w:sectPr w:rsidR="00F731CF">
      <w:footerReference w:type="even" r:id="rId14"/>
      <w:footerReference w:type="default" r:id="rId15"/>
      <w:footerReference w:type="first" r:id="rId16"/>
      <w:pgSz w:w="11906" w:h="16838"/>
      <w:pgMar w:top="1470" w:right="1000" w:bottom="262" w:left="10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250E6" w:rsidRDefault="005250E6">
      <w:pPr>
        <w:spacing w:after="0" w:line="240" w:lineRule="auto"/>
      </w:pPr>
      <w:r>
        <w:separator/>
      </w:r>
    </w:p>
  </w:endnote>
  <w:endnote w:type="continuationSeparator" w:id="0">
    <w:p w:rsidR="005250E6" w:rsidRDefault="005250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31CF" w:rsidRDefault="00000000">
    <w:pPr>
      <w:spacing w:after="0" w:line="259" w:lineRule="auto"/>
      <w:ind w:left="-20" w:right="-20" w:firstLine="0"/>
      <w:jc w:val="left"/>
    </w:pPr>
    <w:r>
      <w:rPr>
        <w:sz w:val="24"/>
      </w:rPr>
      <w:t>–––––––––––––––––––––––––––––––––––––––––––––––––––––––––––––––––––––––––––––––––––</w:t>
    </w:r>
  </w:p>
  <w:p w:rsidR="00F731CF" w:rsidRDefault="00000000">
    <w:pPr>
      <w:tabs>
        <w:tab w:val="right" w:pos="9866"/>
      </w:tabs>
      <w:spacing w:after="0" w:line="259" w:lineRule="auto"/>
      <w:ind w:left="-20" w:right="-20" w:firstLine="0"/>
      <w:jc w:val="left"/>
    </w:pPr>
    <w:r>
      <w:rPr>
        <w:sz w:val="18"/>
      </w:rPr>
      <w:t>Id: B93AEB9D-B77D-4DCD-9163-9C9B43761A07.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31CF" w:rsidRDefault="00000000">
    <w:pPr>
      <w:spacing w:after="0" w:line="259" w:lineRule="auto"/>
      <w:ind w:left="-20" w:right="-20" w:firstLine="0"/>
      <w:jc w:val="left"/>
    </w:pPr>
    <w:r>
      <w:rPr>
        <w:sz w:val="24"/>
      </w:rPr>
      <w:t>–––––––––––––––––––––––––––––––––––––––––––––––––––––––––––––––––––––––––––––––––––</w:t>
    </w:r>
  </w:p>
  <w:p w:rsidR="00F731CF" w:rsidRDefault="00000000">
    <w:pPr>
      <w:tabs>
        <w:tab w:val="right" w:pos="9866"/>
      </w:tabs>
      <w:spacing w:after="0" w:line="259" w:lineRule="auto"/>
      <w:ind w:left="-20" w:right="-20" w:firstLine="0"/>
      <w:jc w:val="left"/>
    </w:pPr>
    <w:r>
      <w:rPr>
        <w:sz w:val="18"/>
      </w:rPr>
      <w:t>Id: B93AEB9D-B77D-4DCD-9163-9C9B43761A07.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31CF" w:rsidRDefault="00000000">
    <w:pPr>
      <w:spacing w:after="0" w:line="259" w:lineRule="auto"/>
      <w:ind w:left="-20" w:right="-20" w:firstLine="0"/>
      <w:jc w:val="left"/>
    </w:pPr>
    <w:r>
      <w:rPr>
        <w:sz w:val="24"/>
      </w:rPr>
      <w:t>–––––––––––––––––––––––––––––––––––––––––––––––––––––––––––––––––––––––––––––––––––</w:t>
    </w:r>
  </w:p>
  <w:p w:rsidR="00F731CF" w:rsidRDefault="00000000">
    <w:pPr>
      <w:tabs>
        <w:tab w:val="right" w:pos="9866"/>
      </w:tabs>
      <w:spacing w:after="0" w:line="259" w:lineRule="auto"/>
      <w:ind w:left="-20" w:right="-20" w:firstLine="0"/>
      <w:jc w:val="left"/>
    </w:pPr>
    <w:r>
      <w:rPr>
        <w:sz w:val="18"/>
      </w:rPr>
      <w:t>Id: B93AEB9D-B77D-4DCD-9163-9C9B43761A07.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31CF" w:rsidRDefault="00F731C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31CF" w:rsidRDefault="00F731C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31CF" w:rsidRDefault="00F731CF">
    <w:pPr>
      <w:spacing w:after="160" w:line="259" w:lineRule="auto"/>
      <w:ind w:left="0" w:firstLine="0"/>
      <w:jc w:val="left"/>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31CF" w:rsidRDefault="00F731CF">
    <w:pPr>
      <w:spacing w:after="160" w:line="259" w:lineRule="auto"/>
      <w:ind w:left="0" w:firstLine="0"/>
      <w:jc w:val="left"/>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31CF" w:rsidRDefault="00F731CF">
    <w:pPr>
      <w:spacing w:after="160" w:line="259" w:lineRule="auto"/>
      <w:ind w:left="0" w:firstLine="0"/>
      <w:jc w:val="left"/>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31CF" w:rsidRDefault="00F731C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250E6" w:rsidRDefault="005250E6">
      <w:pPr>
        <w:spacing w:after="0" w:line="240" w:lineRule="auto"/>
      </w:pPr>
      <w:r>
        <w:separator/>
      </w:r>
    </w:p>
  </w:footnote>
  <w:footnote w:type="continuationSeparator" w:id="0">
    <w:p w:rsidR="005250E6" w:rsidRDefault="005250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54CD"/>
    <w:multiLevelType w:val="hybridMultilevel"/>
    <w:tmpl w:val="1F6A74E8"/>
    <w:lvl w:ilvl="0" w:tplc="7C3201D4">
      <w:start w:val="1"/>
      <w:numFmt w:val="decimal"/>
      <w:lvlText w:val="%1)"/>
      <w:lvlJc w:val="left"/>
      <w:pPr>
        <w:ind w:left="3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8EC3C10">
      <w:start w:val="1"/>
      <w:numFmt w:val="lowerLetter"/>
      <w:lvlText w:val="%2)"/>
      <w:lvlJc w:val="left"/>
      <w:pPr>
        <w:ind w:left="5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B0ED6E0">
      <w:start w:val="1"/>
      <w:numFmt w:val="lowerRoman"/>
      <w:lvlText w:val="%3"/>
      <w:lvlJc w:val="left"/>
      <w:pPr>
        <w:ind w:left="1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64A84CC">
      <w:start w:val="1"/>
      <w:numFmt w:val="decimal"/>
      <w:lvlText w:val="%4"/>
      <w:lvlJc w:val="left"/>
      <w:pPr>
        <w:ind w:left="2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6E20626">
      <w:start w:val="1"/>
      <w:numFmt w:val="lowerLetter"/>
      <w:lvlText w:val="%5"/>
      <w:lvlJc w:val="left"/>
      <w:pPr>
        <w:ind w:left="2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4B6B652">
      <w:start w:val="1"/>
      <w:numFmt w:val="lowerRoman"/>
      <w:lvlText w:val="%6"/>
      <w:lvlJc w:val="left"/>
      <w:pPr>
        <w:ind w:left="3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A30B10C">
      <w:start w:val="1"/>
      <w:numFmt w:val="decimal"/>
      <w:lvlText w:val="%7"/>
      <w:lvlJc w:val="left"/>
      <w:pPr>
        <w:ind w:left="4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3E00D50">
      <w:start w:val="1"/>
      <w:numFmt w:val="lowerLetter"/>
      <w:lvlText w:val="%8"/>
      <w:lvlJc w:val="left"/>
      <w:pPr>
        <w:ind w:left="5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776FBDC">
      <w:start w:val="1"/>
      <w:numFmt w:val="lowerRoman"/>
      <w:lvlText w:val="%9"/>
      <w:lvlJc w:val="left"/>
      <w:pPr>
        <w:ind w:left="57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28301DB"/>
    <w:multiLevelType w:val="hybridMultilevel"/>
    <w:tmpl w:val="9DBE1B5C"/>
    <w:lvl w:ilvl="0" w:tplc="EF7AD5B2">
      <w:start w:val="1"/>
      <w:numFmt w:val="decimal"/>
      <w:lvlText w:val="%1)"/>
      <w:lvlJc w:val="left"/>
      <w:pPr>
        <w:ind w:left="3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7F68826">
      <w:start w:val="1"/>
      <w:numFmt w:val="lowerLetter"/>
      <w:lvlText w:val="%2"/>
      <w:lvlJc w:val="left"/>
      <w:pPr>
        <w:ind w:left="11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E5CA39C">
      <w:start w:val="1"/>
      <w:numFmt w:val="lowerRoman"/>
      <w:lvlText w:val="%3"/>
      <w:lvlJc w:val="left"/>
      <w:pPr>
        <w:ind w:left="19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2861492">
      <w:start w:val="1"/>
      <w:numFmt w:val="decimal"/>
      <w:lvlText w:val="%4"/>
      <w:lvlJc w:val="left"/>
      <w:pPr>
        <w:ind w:left="26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1B2579C">
      <w:start w:val="1"/>
      <w:numFmt w:val="lowerLetter"/>
      <w:lvlText w:val="%5"/>
      <w:lvlJc w:val="left"/>
      <w:pPr>
        <w:ind w:left="33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AE888D4">
      <w:start w:val="1"/>
      <w:numFmt w:val="lowerRoman"/>
      <w:lvlText w:val="%6"/>
      <w:lvlJc w:val="left"/>
      <w:pPr>
        <w:ind w:left="40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0103E74">
      <w:start w:val="1"/>
      <w:numFmt w:val="decimal"/>
      <w:lvlText w:val="%7"/>
      <w:lvlJc w:val="left"/>
      <w:pPr>
        <w:ind w:left="47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C9A840C">
      <w:start w:val="1"/>
      <w:numFmt w:val="lowerLetter"/>
      <w:lvlText w:val="%8"/>
      <w:lvlJc w:val="left"/>
      <w:pPr>
        <w:ind w:left="55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A1801E2">
      <w:start w:val="1"/>
      <w:numFmt w:val="lowerRoman"/>
      <w:lvlText w:val="%9"/>
      <w:lvlJc w:val="left"/>
      <w:pPr>
        <w:ind w:left="62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58B5D07"/>
    <w:multiLevelType w:val="hybridMultilevel"/>
    <w:tmpl w:val="2438D550"/>
    <w:lvl w:ilvl="0" w:tplc="D6B6C376">
      <w:start w:val="1"/>
      <w:numFmt w:val="lowerLetter"/>
      <w:lvlText w:val="%1)"/>
      <w:lvlJc w:val="left"/>
      <w:pPr>
        <w:ind w:left="2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86E30B2">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594F212">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1848DA2">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2E8F672">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8969674">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81E8BCC">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1DA2FC0">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E183D0C">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61202CA"/>
    <w:multiLevelType w:val="hybridMultilevel"/>
    <w:tmpl w:val="8280D6C2"/>
    <w:lvl w:ilvl="0" w:tplc="5D947328">
      <w:start w:val="1"/>
      <w:numFmt w:val="decimal"/>
      <w:lvlText w:val="%1)"/>
      <w:lvlJc w:val="left"/>
      <w:pPr>
        <w:ind w:left="3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3140FA8">
      <w:start w:val="4"/>
      <w:numFmt w:val="decimal"/>
      <w:lvlText w:val="%2."/>
      <w:lvlJc w:val="left"/>
      <w:pPr>
        <w:ind w:left="8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A9A7896">
      <w:start w:val="1"/>
      <w:numFmt w:val="lowerRoman"/>
      <w:lvlText w:val="%3"/>
      <w:lvlJc w:val="left"/>
      <w:pPr>
        <w:ind w:left="1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896096C">
      <w:start w:val="1"/>
      <w:numFmt w:val="decimal"/>
      <w:lvlText w:val="%4"/>
      <w:lvlJc w:val="left"/>
      <w:pPr>
        <w:ind w:left="2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FDABD3E">
      <w:start w:val="1"/>
      <w:numFmt w:val="lowerLetter"/>
      <w:lvlText w:val="%5"/>
      <w:lvlJc w:val="left"/>
      <w:pPr>
        <w:ind w:left="2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9ACAD76">
      <w:start w:val="1"/>
      <w:numFmt w:val="lowerRoman"/>
      <w:lvlText w:val="%6"/>
      <w:lvlJc w:val="left"/>
      <w:pPr>
        <w:ind w:left="3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E9C6FD8">
      <w:start w:val="1"/>
      <w:numFmt w:val="decimal"/>
      <w:lvlText w:val="%7"/>
      <w:lvlJc w:val="left"/>
      <w:pPr>
        <w:ind w:left="4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1420C1C">
      <w:start w:val="1"/>
      <w:numFmt w:val="lowerLetter"/>
      <w:lvlText w:val="%8"/>
      <w:lvlJc w:val="left"/>
      <w:pPr>
        <w:ind w:left="5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FA05350">
      <w:start w:val="1"/>
      <w:numFmt w:val="lowerRoman"/>
      <w:lvlText w:val="%9"/>
      <w:lvlJc w:val="left"/>
      <w:pPr>
        <w:ind w:left="57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9CA3464"/>
    <w:multiLevelType w:val="hybridMultilevel"/>
    <w:tmpl w:val="18306490"/>
    <w:lvl w:ilvl="0" w:tplc="46C6A91E">
      <w:start w:val="1"/>
      <w:numFmt w:val="decimal"/>
      <w:lvlText w:val="%1)"/>
      <w:lvlJc w:val="left"/>
      <w:pPr>
        <w:ind w:left="3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C826784">
      <w:start w:val="1"/>
      <w:numFmt w:val="lowerLetter"/>
      <w:lvlText w:val="%2"/>
      <w:lvlJc w:val="left"/>
      <w:pPr>
        <w:ind w:left="11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94878E2">
      <w:start w:val="1"/>
      <w:numFmt w:val="lowerRoman"/>
      <w:lvlText w:val="%3"/>
      <w:lvlJc w:val="left"/>
      <w:pPr>
        <w:ind w:left="19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0423758">
      <w:start w:val="1"/>
      <w:numFmt w:val="decimal"/>
      <w:lvlText w:val="%4"/>
      <w:lvlJc w:val="left"/>
      <w:pPr>
        <w:ind w:left="26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B8C9B72">
      <w:start w:val="1"/>
      <w:numFmt w:val="lowerLetter"/>
      <w:lvlText w:val="%5"/>
      <w:lvlJc w:val="left"/>
      <w:pPr>
        <w:ind w:left="33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878F882">
      <w:start w:val="1"/>
      <w:numFmt w:val="lowerRoman"/>
      <w:lvlText w:val="%6"/>
      <w:lvlJc w:val="left"/>
      <w:pPr>
        <w:ind w:left="40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528E572">
      <w:start w:val="1"/>
      <w:numFmt w:val="decimal"/>
      <w:lvlText w:val="%7"/>
      <w:lvlJc w:val="left"/>
      <w:pPr>
        <w:ind w:left="47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8CCFF04">
      <w:start w:val="1"/>
      <w:numFmt w:val="lowerLetter"/>
      <w:lvlText w:val="%8"/>
      <w:lvlJc w:val="left"/>
      <w:pPr>
        <w:ind w:left="55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B82B4B8">
      <w:start w:val="1"/>
      <w:numFmt w:val="lowerRoman"/>
      <w:lvlText w:val="%9"/>
      <w:lvlJc w:val="left"/>
      <w:pPr>
        <w:ind w:left="62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C623C4A"/>
    <w:multiLevelType w:val="hybridMultilevel"/>
    <w:tmpl w:val="6262CDD8"/>
    <w:lvl w:ilvl="0" w:tplc="57F02AD8">
      <w:start w:val="1"/>
      <w:numFmt w:val="decimal"/>
      <w:lvlText w:val="%1)"/>
      <w:lvlJc w:val="left"/>
      <w:pPr>
        <w:ind w:left="3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4ECEE5C">
      <w:start w:val="1"/>
      <w:numFmt w:val="lowerLetter"/>
      <w:lvlText w:val="%2"/>
      <w:lvlJc w:val="left"/>
      <w:pPr>
        <w:ind w:left="11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D4EC558">
      <w:start w:val="1"/>
      <w:numFmt w:val="lowerRoman"/>
      <w:lvlText w:val="%3"/>
      <w:lvlJc w:val="left"/>
      <w:pPr>
        <w:ind w:left="19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D08EAB2">
      <w:start w:val="1"/>
      <w:numFmt w:val="decimal"/>
      <w:lvlText w:val="%4"/>
      <w:lvlJc w:val="left"/>
      <w:pPr>
        <w:ind w:left="26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E02496E">
      <w:start w:val="1"/>
      <w:numFmt w:val="lowerLetter"/>
      <w:lvlText w:val="%5"/>
      <w:lvlJc w:val="left"/>
      <w:pPr>
        <w:ind w:left="33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66256F6">
      <w:start w:val="1"/>
      <w:numFmt w:val="lowerRoman"/>
      <w:lvlText w:val="%6"/>
      <w:lvlJc w:val="left"/>
      <w:pPr>
        <w:ind w:left="40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3846F80">
      <w:start w:val="1"/>
      <w:numFmt w:val="decimal"/>
      <w:lvlText w:val="%7"/>
      <w:lvlJc w:val="left"/>
      <w:pPr>
        <w:ind w:left="47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2B0D564">
      <w:start w:val="1"/>
      <w:numFmt w:val="lowerLetter"/>
      <w:lvlText w:val="%8"/>
      <w:lvlJc w:val="left"/>
      <w:pPr>
        <w:ind w:left="55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F58DEF4">
      <w:start w:val="1"/>
      <w:numFmt w:val="lowerRoman"/>
      <w:lvlText w:val="%9"/>
      <w:lvlJc w:val="left"/>
      <w:pPr>
        <w:ind w:left="62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EB01D52"/>
    <w:multiLevelType w:val="hybridMultilevel"/>
    <w:tmpl w:val="21181EFC"/>
    <w:lvl w:ilvl="0" w:tplc="2496F1FE">
      <w:start w:val="1"/>
      <w:numFmt w:val="decimal"/>
      <w:lvlText w:val="%1."/>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C38684E">
      <w:start w:val="1"/>
      <w:numFmt w:val="lowerLetter"/>
      <w:lvlText w:val="%2"/>
      <w:lvlJc w:val="left"/>
      <w:pPr>
        <w:ind w:left="1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B62665E">
      <w:start w:val="1"/>
      <w:numFmt w:val="lowerRoman"/>
      <w:lvlText w:val="%3"/>
      <w:lvlJc w:val="left"/>
      <w:pPr>
        <w:ind w:left="2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C8E2E0E">
      <w:start w:val="1"/>
      <w:numFmt w:val="decimal"/>
      <w:lvlText w:val="%4"/>
      <w:lvlJc w:val="left"/>
      <w:pPr>
        <w:ind w:left="2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E0E61D2">
      <w:start w:val="1"/>
      <w:numFmt w:val="lowerLetter"/>
      <w:lvlText w:val="%5"/>
      <w:lvlJc w:val="left"/>
      <w:pPr>
        <w:ind w:left="3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62233DC">
      <w:start w:val="1"/>
      <w:numFmt w:val="lowerRoman"/>
      <w:lvlText w:val="%6"/>
      <w:lvlJc w:val="left"/>
      <w:pPr>
        <w:ind w:left="4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7B02498">
      <w:start w:val="1"/>
      <w:numFmt w:val="decimal"/>
      <w:lvlText w:val="%7"/>
      <w:lvlJc w:val="left"/>
      <w:pPr>
        <w:ind w:left="5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686605A">
      <w:start w:val="1"/>
      <w:numFmt w:val="lowerLetter"/>
      <w:lvlText w:val="%8"/>
      <w:lvlJc w:val="left"/>
      <w:pPr>
        <w:ind w:left="57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7F4354A">
      <w:start w:val="1"/>
      <w:numFmt w:val="lowerRoman"/>
      <w:lvlText w:val="%9"/>
      <w:lvlJc w:val="left"/>
      <w:pPr>
        <w:ind w:left="64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CA465BF"/>
    <w:multiLevelType w:val="hybridMultilevel"/>
    <w:tmpl w:val="18781628"/>
    <w:lvl w:ilvl="0" w:tplc="782222AE">
      <w:start w:val="1"/>
      <w:numFmt w:val="decimal"/>
      <w:lvlText w:val="%1)"/>
      <w:lvlJc w:val="left"/>
      <w:pPr>
        <w:ind w:left="3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A9A5058">
      <w:start w:val="1"/>
      <w:numFmt w:val="lowerLetter"/>
      <w:lvlText w:val="%2"/>
      <w:lvlJc w:val="left"/>
      <w:pPr>
        <w:ind w:left="11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6F8C164">
      <w:start w:val="1"/>
      <w:numFmt w:val="lowerRoman"/>
      <w:lvlText w:val="%3"/>
      <w:lvlJc w:val="left"/>
      <w:pPr>
        <w:ind w:left="19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6380EB8">
      <w:start w:val="1"/>
      <w:numFmt w:val="decimal"/>
      <w:lvlText w:val="%4"/>
      <w:lvlJc w:val="left"/>
      <w:pPr>
        <w:ind w:left="26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56ECC62">
      <w:start w:val="1"/>
      <w:numFmt w:val="lowerLetter"/>
      <w:lvlText w:val="%5"/>
      <w:lvlJc w:val="left"/>
      <w:pPr>
        <w:ind w:left="33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E904B28">
      <w:start w:val="1"/>
      <w:numFmt w:val="lowerRoman"/>
      <w:lvlText w:val="%6"/>
      <w:lvlJc w:val="left"/>
      <w:pPr>
        <w:ind w:left="40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BB607D4">
      <w:start w:val="1"/>
      <w:numFmt w:val="decimal"/>
      <w:lvlText w:val="%7"/>
      <w:lvlJc w:val="left"/>
      <w:pPr>
        <w:ind w:left="47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DCE9334">
      <w:start w:val="1"/>
      <w:numFmt w:val="lowerLetter"/>
      <w:lvlText w:val="%8"/>
      <w:lvlJc w:val="left"/>
      <w:pPr>
        <w:ind w:left="55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EEA4E02">
      <w:start w:val="1"/>
      <w:numFmt w:val="lowerRoman"/>
      <w:lvlText w:val="%9"/>
      <w:lvlJc w:val="left"/>
      <w:pPr>
        <w:ind w:left="62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21706ED5"/>
    <w:multiLevelType w:val="hybridMultilevel"/>
    <w:tmpl w:val="5E0417C8"/>
    <w:lvl w:ilvl="0" w:tplc="C5AC0E6E">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C54AAE0">
      <w:start w:val="1"/>
      <w:numFmt w:val="decimal"/>
      <w:lvlText w:val="%2."/>
      <w:lvlJc w:val="left"/>
      <w:pPr>
        <w:ind w:left="5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7BC9932">
      <w:start w:val="1"/>
      <w:numFmt w:val="lowerRoman"/>
      <w:lvlText w:val="%3"/>
      <w:lvlJc w:val="left"/>
      <w:pPr>
        <w:ind w:left="1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4A8BA8A">
      <w:start w:val="1"/>
      <w:numFmt w:val="decimal"/>
      <w:lvlText w:val="%4"/>
      <w:lvlJc w:val="left"/>
      <w:pPr>
        <w:ind w:left="2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838F404">
      <w:start w:val="1"/>
      <w:numFmt w:val="lowerLetter"/>
      <w:lvlText w:val="%5"/>
      <w:lvlJc w:val="left"/>
      <w:pPr>
        <w:ind w:left="2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EF6737E">
      <w:start w:val="1"/>
      <w:numFmt w:val="lowerRoman"/>
      <w:lvlText w:val="%6"/>
      <w:lvlJc w:val="left"/>
      <w:pPr>
        <w:ind w:left="3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770F7EC">
      <w:start w:val="1"/>
      <w:numFmt w:val="decimal"/>
      <w:lvlText w:val="%7"/>
      <w:lvlJc w:val="left"/>
      <w:pPr>
        <w:ind w:left="4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9EA35FC">
      <w:start w:val="1"/>
      <w:numFmt w:val="lowerLetter"/>
      <w:lvlText w:val="%8"/>
      <w:lvlJc w:val="left"/>
      <w:pPr>
        <w:ind w:left="5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C986A5A">
      <w:start w:val="1"/>
      <w:numFmt w:val="lowerRoman"/>
      <w:lvlText w:val="%9"/>
      <w:lvlJc w:val="left"/>
      <w:pPr>
        <w:ind w:left="57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28F02C65"/>
    <w:multiLevelType w:val="hybridMultilevel"/>
    <w:tmpl w:val="BC4AD642"/>
    <w:lvl w:ilvl="0" w:tplc="4FAE4482">
      <w:start w:val="1"/>
      <w:numFmt w:val="decimal"/>
      <w:lvlText w:val="%1)"/>
      <w:lvlJc w:val="left"/>
      <w:pPr>
        <w:ind w:left="3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056C608">
      <w:start w:val="2"/>
      <w:numFmt w:val="decimal"/>
      <w:lvlText w:val="%2."/>
      <w:lvlJc w:val="left"/>
      <w:pPr>
        <w:ind w:left="8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12A718A">
      <w:start w:val="1"/>
      <w:numFmt w:val="lowerRoman"/>
      <w:lvlText w:val="%3"/>
      <w:lvlJc w:val="left"/>
      <w:pPr>
        <w:ind w:left="1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AB608B4">
      <w:start w:val="1"/>
      <w:numFmt w:val="decimal"/>
      <w:lvlText w:val="%4"/>
      <w:lvlJc w:val="left"/>
      <w:pPr>
        <w:ind w:left="2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74E2EC0">
      <w:start w:val="1"/>
      <w:numFmt w:val="lowerLetter"/>
      <w:lvlText w:val="%5"/>
      <w:lvlJc w:val="left"/>
      <w:pPr>
        <w:ind w:left="2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E3AC262">
      <w:start w:val="1"/>
      <w:numFmt w:val="lowerRoman"/>
      <w:lvlText w:val="%6"/>
      <w:lvlJc w:val="left"/>
      <w:pPr>
        <w:ind w:left="3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0541DA6">
      <w:start w:val="1"/>
      <w:numFmt w:val="decimal"/>
      <w:lvlText w:val="%7"/>
      <w:lvlJc w:val="left"/>
      <w:pPr>
        <w:ind w:left="4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5162AA8">
      <w:start w:val="1"/>
      <w:numFmt w:val="lowerLetter"/>
      <w:lvlText w:val="%8"/>
      <w:lvlJc w:val="left"/>
      <w:pPr>
        <w:ind w:left="5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9EAF9CE">
      <w:start w:val="1"/>
      <w:numFmt w:val="lowerRoman"/>
      <w:lvlText w:val="%9"/>
      <w:lvlJc w:val="left"/>
      <w:pPr>
        <w:ind w:left="57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2C2252E4"/>
    <w:multiLevelType w:val="hybridMultilevel"/>
    <w:tmpl w:val="5F8AB4C2"/>
    <w:lvl w:ilvl="0" w:tplc="F6D84A12">
      <w:start w:val="1"/>
      <w:numFmt w:val="decimal"/>
      <w:lvlText w:val="%1)"/>
      <w:lvlJc w:val="left"/>
      <w:pPr>
        <w:ind w:left="3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7507B62">
      <w:start w:val="2"/>
      <w:numFmt w:val="decimal"/>
      <w:lvlText w:val="%2."/>
      <w:lvlJc w:val="left"/>
      <w:pPr>
        <w:ind w:left="1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A549308">
      <w:start w:val="1"/>
      <w:numFmt w:val="lowerRoman"/>
      <w:lvlText w:val="%3"/>
      <w:lvlJc w:val="left"/>
      <w:pPr>
        <w:ind w:left="1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9446104">
      <w:start w:val="1"/>
      <w:numFmt w:val="decimal"/>
      <w:lvlText w:val="%4"/>
      <w:lvlJc w:val="left"/>
      <w:pPr>
        <w:ind w:left="2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3DEF082">
      <w:start w:val="1"/>
      <w:numFmt w:val="lowerLetter"/>
      <w:lvlText w:val="%5"/>
      <w:lvlJc w:val="left"/>
      <w:pPr>
        <w:ind w:left="2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DEA5858">
      <w:start w:val="1"/>
      <w:numFmt w:val="lowerRoman"/>
      <w:lvlText w:val="%6"/>
      <w:lvlJc w:val="left"/>
      <w:pPr>
        <w:ind w:left="3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DEA8112">
      <w:start w:val="1"/>
      <w:numFmt w:val="decimal"/>
      <w:lvlText w:val="%7"/>
      <w:lvlJc w:val="left"/>
      <w:pPr>
        <w:ind w:left="4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FDA25D4">
      <w:start w:val="1"/>
      <w:numFmt w:val="lowerLetter"/>
      <w:lvlText w:val="%8"/>
      <w:lvlJc w:val="left"/>
      <w:pPr>
        <w:ind w:left="5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650CE78">
      <w:start w:val="1"/>
      <w:numFmt w:val="lowerRoman"/>
      <w:lvlText w:val="%9"/>
      <w:lvlJc w:val="left"/>
      <w:pPr>
        <w:ind w:left="57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2ED02B62"/>
    <w:multiLevelType w:val="hybridMultilevel"/>
    <w:tmpl w:val="18B6444C"/>
    <w:lvl w:ilvl="0" w:tplc="7E54C612">
      <w:start w:val="1"/>
      <w:numFmt w:val="decimal"/>
      <w:lvlText w:val="%1)"/>
      <w:lvlJc w:val="left"/>
      <w:pPr>
        <w:ind w:left="3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6C2EB2A">
      <w:start w:val="1"/>
      <w:numFmt w:val="lowerLetter"/>
      <w:lvlText w:val="%2"/>
      <w:lvlJc w:val="left"/>
      <w:pPr>
        <w:ind w:left="11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3CAF520">
      <w:start w:val="1"/>
      <w:numFmt w:val="lowerRoman"/>
      <w:lvlText w:val="%3"/>
      <w:lvlJc w:val="left"/>
      <w:pPr>
        <w:ind w:left="19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334EFD4">
      <w:start w:val="1"/>
      <w:numFmt w:val="decimal"/>
      <w:lvlText w:val="%4"/>
      <w:lvlJc w:val="left"/>
      <w:pPr>
        <w:ind w:left="26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F96A4D0">
      <w:start w:val="1"/>
      <w:numFmt w:val="lowerLetter"/>
      <w:lvlText w:val="%5"/>
      <w:lvlJc w:val="left"/>
      <w:pPr>
        <w:ind w:left="33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EA2AEFE">
      <w:start w:val="1"/>
      <w:numFmt w:val="lowerRoman"/>
      <w:lvlText w:val="%6"/>
      <w:lvlJc w:val="left"/>
      <w:pPr>
        <w:ind w:left="40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EE4BBD6">
      <w:start w:val="1"/>
      <w:numFmt w:val="decimal"/>
      <w:lvlText w:val="%7"/>
      <w:lvlJc w:val="left"/>
      <w:pPr>
        <w:ind w:left="47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CA25F0A">
      <w:start w:val="1"/>
      <w:numFmt w:val="lowerLetter"/>
      <w:lvlText w:val="%8"/>
      <w:lvlJc w:val="left"/>
      <w:pPr>
        <w:ind w:left="55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DE28FAE">
      <w:start w:val="1"/>
      <w:numFmt w:val="lowerRoman"/>
      <w:lvlText w:val="%9"/>
      <w:lvlJc w:val="left"/>
      <w:pPr>
        <w:ind w:left="62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2F200933"/>
    <w:multiLevelType w:val="hybridMultilevel"/>
    <w:tmpl w:val="1E6A3A62"/>
    <w:lvl w:ilvl="0" w:tplc="5486F01E">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3485238">
      <w:start w:val="1"/>
      <w:numFmt w:val="decimal"/>
      <w:lvlText w:val="%2."/>
      <w:lvlJc w:val="left"/>
      <w:pPr>
        <w:ind w:left="5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0F23184">
      <w:start w:val="1"/>
      <w:numFmt w:val="lowerRoman"/>
      <w:lvlText w:val="%3"/>
      <w:lvlJc w:val="left"/>
      <w:pPr>
        <w:ind w:left="1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5E2A928">
      <w:start w:val="1"/>
      <w:numFmt w:val="decimal"/>
      <w:lvlText w:val="%4"/>
      <w:lvlJc w:val="left"/>
      <w:pPr>
        <w:ind w:left="2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36A05BA">
      <w:start w:val="1"/>
      <w:numFmt w:val="lowerLetter"/>
      <w:lvlText w:val="%5"/>
      <w:lvlJc w:val="left"/>
      <w:pPr>
        <w:ind w:left="2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2B8749E">
      <w:start w:val="1"/>
      <w:numFmt w:val="lowerRoman"/>
      <w:lvlText w:val="%6"/>
      <w:lvlJc w:val="left"/>
      <w:pPr>
        <w:ind w:left="3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64221FC">
      <w:start w:val="1"/>
      <w:numFmt w:val="decimal"/>
      <w:lvlText w:val="%7"/>
      <w:lvlJc w:val="left"/>
      <w:pPr>
        <w:ind w:left="4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35EC1CA">
      <w:start w:val="1"/>
      <w:numFmt w:val="lowerLetter"/>
      <w:lvlText w:val="%8"/>
      <w:lvlJc w:val="left"/>
      <w:pPr>
        <w:ind w:left="5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74025B0">
      <w:start w:val="1"/>
      <w:numFmt w:val="lowerRoman"/>
      <w:lvlText w:val="%9"/>
      <w:lvlJc w:val="left"/>
      <w:pPr>
        <w:ind w:left="57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2FED6547"/>
    <w:multiLevelType w:val="hybridMultilevel"/>
    <w:tmpl w:val="3EB07606"/>
    <w:lvl w:ilvl="0" w:tplc="62A61060">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FE855C2">
      <w:start w:val="1"/>
      <w:numFmt w:val="decimal"/>
      <w:lvlText w:val="%2."/>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6B0C6F2">
      <w:start w:val="1"/>
      <w:numFmt w:val="lowerRoman"/>
      <w:lvlText w:val="%3"/>
      <w:lvlJc w:val="left"/>
      <w:pPr>
        <w:ind w:left="1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BAAD71A">
      <w:start w:val="1"/>
      <w:numFmt w:val="decimal"/>
      <w:lvlText w:val="%4"/>
      <w:lvlJc w:val="left"/>
      <w:pPr>
        <w:ind w:left="2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8D4A0FA">
      <w:start w:val="1"/>
      <w:numFmt w:val="lowerLetter"/>
      <w:lvlText w:val="%5"/>
      <w:lvlJc w:val="left"/>
      <w:pPr>
        <w:ind w:left="2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FDE9392">
      <w:start w:val="1"/>
      <w:numFmt w:val="lowerRoman"/>
      <w:lvlText w:val="%6"/>
      <w:lvlJc w:val="left"/>
      <w:pPr>
        <w:ind w:left="3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106B5CC">
      <w:start w:val="1"/>
      <w:numFmt w:val="decimal"/>
      <w:lvlText w:val="%7"/>
      <w:lvlJc w:val="left"/>
      <w:pPr>
        <w:ind w:left="4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E26E848">
      <w:start w:val="1"/>
      <w:numFmt w:val="lowerLetter"/>
      <w:lvlText w:val="%8"/>
      <w:lvlJc w:val="left"/>
      <w:pPr>
        <w:ind w:left="5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FC0070E">
      <w:start w:val="1"/>
      <w:numFmt w:val="lowerRoman"/>
      <w:lvlText w:val="%9"/>
      <w:lvlJc w:val="left"/>
      <w:pPr>
        <w:ind w:left="57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455B7B31"/>
    <w:multiLevelType w:val="hybridMultilevel"/>
    <w:tmpl w:val="BB96FA68"/>
    <w:lvl w:ilvl="0" w:tplc="0AFA96F6">
      <w:start w:val="1"/>
      <w:numFmt w:val="decimal"/>
      <w:lvlText w:val="%1)"/>
      <w:lvlJc w:val="left"/>
      <w:pPr>
        <w:ind w:left="3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9CEA6E0">
      <w:start w:val="1"/>
      <w:numFmt w:val="lowerLetter"/>
      <w:lvlText w:val="%2"/>
      <w:lvlJc w:val="left"/>
      <w:pPr>
        <w:ind w:left="11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8A4651A">
      <w:start w:val="1"/>
      <w:numFmt w:val="lowerRoman"/>
      <w:lvlText w:val="%3"/>
      <w:lvlJc w:val="left"/>
      <w:pPr>
        <w:ind w:left="19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DD8161A">
      <w:start w:val="1"/>
      <w:numFmt w:val="decimal"/>
      <w:lvlText w:val="%4"/>
      <w:lvlJc w:val="left"/>
      <w:pPr>
        <w:ind w:left="26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ED0D252">
      <w:start w:val="1"/>
      <w:numFmt w:val="lowerLetter"/>
      <w:lvlText w:val="%5"/>
      <w:lvlJc w:val="left"/>
      <w:pPr>
        <w:ind w:left="33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75E8E86">
      <w:start w:val="1"/>
      <w:numFmt w:val="lowerRoman"/>
      <w:lvlText w:val="%6"/>
      <w:lvlJc w:val="left"/>
      <w:pPr>
        <w:ind w:left="40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1A8D3E0">
      <w:start w:val="1"/>
      <w:numFmt w:val="decimal"/>
      <w:lvlText w:val="%7"/>
      <w:lvlJc w:val="left"/>
      <w:pPr>
        <w:ind w:left="47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C20A4D8">
      <w:start w:val="1"/>
      <w:numFmt w:val="lowerLetter"/>
      <w:lvlText w:val="%8"/>
      <w:lvlJc w:val="left"/>
      <w:pPr>
        <w:ind w:left="55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A880448">
      <w:start w:val="1"/>
      <w:numFmt w:val="lowerRoman"/>
      <w:lvlText w:val="%9"/>
      <w:lvlJc w:val="left"/>
      <w:pPr>
        <w:ind w:left="62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461B4C55"/>
    <w:multiLevelType w:val="hybridMultilevel"/>
    <w:tmpl w:val="543CECDA"/>
    <w:lvl w:ilvl="0" w:tplc="302C6EFE">
      <w:start w:val="1"/>
      <w:numFmt w:val="decimal"/>
      <w:lvlText w:val="%1)"/>
      <w:lvlJc w:val="left"/>
      <w:pPr>
        <w:ind w:left="3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D00ADE2">
      <w:start w:val="1"/>
      <w:numFmt w:val="lowerLetter"/>
      <w:lvlText w:val="%2)"/>
      <w:lvlJc w:val="left"/>
      <w:pPr>
        <w:ind w:left="5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13A8ECE">
      <w:start w:val="1"/>
      <w:numFmt w:val="lowerRoman"/>
      <w:lvlText w:val="%3"/>
      <w:lvlJc w:val="left"/>
      <w:pPr>
        <w:ind w:left="1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E1202A8">
      <w:start w:val="1"/>
      <w:numFmt w:val="decimal"/>
      <w:lvlText w:val="%4"/>
      <w:lvlJc w:val="left"/>
      <w:pPr>
        <w:ind w:left="2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60CBD44">
      <w:start w:val="1"/>
      <w:numFmt w:val="lowerLetter"/>
      <w:lvlText w:val="%5"/>
      <w:lvlJc w:val="left"/>
      <w:pPr>
        <w:ind w:left="2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A7ECAC4">
      <w:start w:val="1"/>
      <w:numFmt w:val="lowerRoman"/>
      <w:lvlText w:val="%6"/>
      <w:lvlJc w:val="left"/>
      <w:pPr>
        <w:ind w:left="3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E8A846E">
      <w:start w:val="1"/>
      <w:numFmt w:val="decimal"/>
      <w:lvlText w:val="%7"/>
      <w:lvlJc w:val="left"/>
      <w:pPr>
        <w:ind w:left="4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7CAEB64">
      <w:start w:val="1"/>
      <w:numFmt w:val="lowerLetter"/>
      <w:lvlText w:val="%8"/>
      <w:lvlJc w:val="left"/>
      <w:pPr>
        <w:ind w:left="5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71E18BE">
      <w:start w:val="1"/>
      <w:numFmt w:val="lowerRoman"/>
      <w:lvlText w:val="%9"/>
      <w:lvlJc w:val="left"/>
      <w:pPr>
        <w:ind w:left="57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4D770C26"/>
    <w:multiLevelType w:val="hybridMultilevel"/>
    <w:tmpl w:val="72EA1184"/>
    <w:lvl w:ilvl="0" w:tplc="61D482CA">
      <w:start w:val="1"/>
      <w:numFmt w:val="decimal"/>
      <w:lvlText w:val="%1)"/>
      <w:lvlJc w:val="left"/>
      <w:pPr>
        <w:ind w:left="3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70203D0">
      <w:start w:val="1"/>
      <w:numFmt w:val="lowerLetter"/>
      <w:lvlText w:val="%2"/>
      <w:lvlJc w:val="left"/>
      <w:pPr>
        <w:ind w:left="11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E4C6642">
      <w:start w:val="1"/>
      <w:numFmt w:val="lowerRoman"/>
      <w:lvlText w:val="%3"/>
      <w:lvlJc w:val="left"/>
      <w:pPr>
        <w:ind w:left="19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31AF4F0">
      <w:start w:val="1"/>
      <w:numFmt w:val="decimal"/>
      <w:lvlText w:val="%4"/>
      <w:lvlJc w:val="left"/>
      <w:pPr>
        <w:ind w:left="26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4CC7EE4">
      <w:start w:val="1"/>
      <w:numFmt w:val="lowerLetter"/>
      <w:lvlText w:val="%5"/>
      <w:lvlJc w:val="left"/>
      <w:pPr>
        <w:ind w:left="33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3B8D046">
      <w:start w:val="1"/>
      <w:numFmt w:val="lowerRoman"/>
      <w:lvlText w:val="%6"/>
      <w:lvlJc w:val="left"/>
      <w:pPr>
        <w:ind w:left="40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EEC68DA">
      <w:start w:val="1"/>
      <w:numFmt w:val="decimal"/>
      <w:lvlText w:val="%7"/>
      <w:lvlJc w:val="left"/>
      <w:pPr>
        <w:ind w:left="47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02EC786">
      <w:start w:val="1"/>
      <w:numFmt w:val="lowerLetter"/>
      <w:lvlText w:val="%8"/>
      <w:lvlJc w:val="left"/>
      <w:pPr>
        <w:ind w:left="55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A70B89E">
      <w:start w:val="1"/>
      <w:numFmt w:val="lowerRoman"/>
      <w:lvlText w:val="%9"/>
      <w:lvlJc w:val="left"/>
      <w:pPr>
        <w:ind w:left="62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4F326F8A"/>
    <w:multiLevelType w:val="hybridMultilevel"/>
    <w:tmpl w:val="A8A8E0FA"/>
    <w:lvl w:ilvl="0" w:tplc="5836A60E">
      <w:start w:val="1"/>
      <w:numFmt w:val="decimal"/>
      <w:lvlText w:val="%1)"/>
      <w:lvlJc w:val="left"/>
      <w:pPr>
        <w:ind w:left="3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284A286">
      <w:start w:val="1"/>
      <w:numFmt w:val="lowerLetter"/>
      <w:lvlText w:val="%2)"/>
      <w:lvlJc w:val="left"/>
      <w:pPr>
        <w:ind w:left="5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5EA5F1A">
      <w:start w:val="1"/>
      <w:numFmt w:val="lowerRoman"/>
      <w:lvlText w:val="%3"/>
      <w:lvlJc w:val="left"/>
      <w:pPr>
        <w:ind w:left="1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F12724C">
      <w:start w:val="1"/>
      <w:numFmt w:val="decimal"/>
      <w:lvlText w:val="%4"/>
      <w:lvlJc w:val="left"/>
      <w:pPr>
        <w:ind w:left="2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0D84ED2">
      <w:start w:val="1"/>
      <w:numFmt w:val="lowerLetter"/>
      <w:lvlText w:val="%5"/>
      <w:lvlJc w:val="left"/>
      <w:pPr>
        <w:ind w:left="2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098B006">
      <w:start w:val="1"/>
      <w:numFmt w:val="lowerRoman"/>
      <w:lvlText w:val="%6"/>
      <w:lvlJc w:val="left"/>
      <w:pPr>
        <w:ind w:left="3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6F25D62">
      <w:start w:val="1"/>
      <w:numFmt w:val="decimal"/>
      <w:lvlText w:val="%7"/>
      <w:lvlJc w:val="left"/>
      <w:pPr>
        <w:ind w:left="4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9A637F2">
      <w:start w:val="1"/>
      <w:numFmt w:val="lowerLetter"/>
      <w:lvlText w:val="%8"/>
      <w:lvlJc w:val="left"/>
      <w:pPr>
        <w:ind w:left="5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5D2B890">
      <w:start w:val="1"/>
      <w:numFmt w:val="lowerRoman"/>
      <w:lvlText w:val="%9"/>
      <w:lvlJc w:val="left"/>
      <w:pPr>
        <w:ind w:left="57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4FB46567"/>
    <w:multiLevelType w:val="hybridMultilevel"/>
    <w:tmpl w:val="FFCE0690"/>
    <w:lvl w:ilvl="0" w:tplc="028E6536">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8023424">
      <w:start w:val="1"/>
      <w:numFmt w:val="decimal"/>
      <w:lvlText w:val="%2."/>
      <w:lvlJc w:val="left"/>
      <w:pPr>
        <w:ind w:left="1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7DC5072">
      <w:start w:val="1"/>
      <w:numFmt w:val="lowerRoman"/>
      <w:lvlText w:val="%3"/>
      <w:lvlJc w:val="left"/>
      <w:pPr>
        <w:ind w:left="1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6CA1974">
      <w:start w:val="1"/>
      <w:numFmt w:val="decimal"/>
      <w:lvlText w:val="%4"/>
      <w:lvlJc w:val="left"/>
      <w:pPr>
        <w:ind w:left="2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7F4130C">
      <w:start w:val="1"/>
      <w:numFmt w:val="lowerLetter"/>
      <w:lvlText w:val="%5"/>
      <w:lvlJc w:val="left"/>
      <w:pPr>
        <w:ind w:left="2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1CE8868">
      <w:start w:val="1"/>
      <w:numFmt w:val="lowerRoman"/>
      <w:lvlText w:val="%6"/>
      <w:lvlJc w:val="left"/>
      <w:pPr>
        <w:ind w:left="3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60452B0">
      <w:start w:val="1"/>
      <w:numFmt w:val="decimal"/>
      <w:lvlText w:val="%7"/>
      <w:lvlJc w:val="left"/>
      <w:pPr>
        <w:ind w:left="4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E3879B2">
      <w:start w:val="1"/>
      <w:numFmt w:val="lowerLetter"/>
      <w:lvlText w:val="%8"/>
      <w:lvlJc w:val="left"/>
      <w:pPr>
        <w:ind w:left="5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6507500">
      <w:start w:val="1"/>
      <w:numFmt w:val="lowerRoman"/>
      <w:lvlText w:val="%9"/>
      <w:lvlJc w:val="left"/>
      <w:pPr>
        <w:ind w:left="57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529D136D"/>
    <w:multiLevelType w:val="hybridMultilevel"/>
    <w:tmpl w:val="E4923160"/>
    <w:lvl w:ilvl="0" w:tplc="BA0A8320">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76A8504">
      <w:start w:val="2"/>
      <w:numFmt w:val="decimal"/>
      <w:lvlText w:val="%2."/>
      <w:lvlJc w:val="left"/>
      <w:pPr>
        <w:ind w:left="1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B942C7C">
      <w:start w:val="1"/>
      <w:numFmt w:val="lowerRoman"/>
      <w:lvlText w:val="%3"/>
      <w:lvlJc w:val="left"/>
      <w:pPr>
        <w:ind w:left="1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7768344">
      <w:start w:val="1"/>
      <w:numFmt w:val="decimal"/>
      <w:lvlText w:val="%4"/>
      <w:lvlJc w:val="left"/>
      <w:pPr>
        <w:ind w:left="2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380CBC2">
      <w:start w:val="1"/>
      <w:numFmt w:val="lowerLetter"/>
      <w:lvlText w:val="%5"/>
      <w:lvlJc w:val="left"/>
      <w:pPr>
        <w:ind w:left="2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C0E955E">
      <w:start w:val="1"/>
      <w:numFmt w:val="lowerRoman"/>
      <w:lvlText w:val="%6"/>
      <w:lvlJc w:val="left"/>
      <w:pPr>
        <w:ind w:left="3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ECC279E">
      <w:start w:val="1"/>
      <w:numFmt w:val="decimal"/>
      <w:lvlText w:val="%7"/>
      <w:lvlJc w:val="left"/>
      <w:pPr>
        <w:ind w:left="4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13EA4CA">
      <w:start w:val="1"/>
      <w:numFmt w:val="lowerLetter"/>
      <w:lvlText w:val="%8"/>
      <w:lvlJc w:val="left"/>
      <w:pPr>
        <w:ind w:left="5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4AC5DBA">
      <w:start w:val="1"/>
      <w:numFmt w:val="lowerRoman"/>
      <w:lvlText w:val="%9"/>
      <w:lvlJc w:val="left"/>
      <w:pPr>
        <w:ind w:left="57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547E3AC0"/>
    <w:multiLevelType w:val="hybridMultilevel"/>
    <w:tmpl w:val="309A1196"/>
    <w:lvl w:ilvl="0" w:tplc="1456787C">
      <w:start w:val="1"/>
      <w:numFmt w:val="decimal"/>
      <w:lvlText w:val="%1)"/>
      <w:lvlJc w:val="left"/>
      <w:pPr>
        <w:ind w:left="3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906A4B8">
      <w:start w:val="1"/>
      <w:numFmt w:val="lowerLetter"/>
      <w:lvlText w:val="%2)"/>
      <w:lvlJc w:val="left"/>
      <w:pPr>
        <w:ind w:left="3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A7AD6B6">
      <w:start w:val="1"/>
      <w:numFmt w:val="bullet"/>
      <w:lvlText w:val="-"/>
      <w:lvlJc w:val="left"/>
      <w:pPr>
        <w:ind w:left="8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9EEC282">
      <w:start w:val="1"/>
      <w:numFmt w:val="bullet"/>
      <w:lvlText w:val="•"/>
      <w:lvlJc w:val="left"/>
      <w:pPr>
        <w:ind w:left="17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208E420">
      <w:start w:val="1"/>
      <w:numFmt w:val="bullet"/>
      <w:lvlText w:val="o"/>
      <w:lvlJc w:val="left"/>
      <w:pPr>
        <w:ind w:left="24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64A380A">
      <w:start w:val="1"/>
      <w:numFmt w:val="bullet"/>
      <w:lvlText w:val="▪"/>
      <w:lvlJc w:val="left"/>
      <w:pPr>
        <w:ind w:left="32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07088E6">
      <w:start w:val="1"/>
      <w:numFmt w:val="bullet"/>
      <w:lvlText w:val="•"/>
      <w:lvlJc w:val="left"/>
      <w:pPr>
        <w:ind w:left="39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170A4AE">
      <w:start w:val="1"/>
      <w:numFmt w:val="bullet"/>
      <w:lvlText w:val="o"/>
      <w:lvlJc w:val="left"/>
      <w:pPr>
        <w:ind w:left="46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816F7CC">
      <w:start w:val="1"/>
      <w:numFmt w:val="bullet"/>
      <w:lvlText w:val="▪"/>
      <w:lvlJc w:val="left"/>
      <w:pPr>
        <w:ind w:left="53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57F470F0"/>
    <w:multiLevelType w:val="hybridMultilevel"/>
    <w:tmpl w:val="FC7A58FA"/>
    <w:lvl w:ilvl="0" w:tplc="EC761D50">
      <w:start w:val="1"/>
      <w:numFmt w:val="decimal"/>
      <w:lvlText w:val="%1)"/>
      <w:lvlJc w:val="left"/>
      <w:pPr>
        <w:ind w:left="3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F66AB0C">
      <w:start w:val="1"/>
      <w:numFmt w:val="lowerLetter"/>
      <w:lvlText w:val="%2"/>
      <w:lvlJc w:val="left"/>
      <w:pPr>
        <w:ind w:left="11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734828A">
      <w:start w:val="1"/>
      <w:numFmt w:val="lowerRoman"/>
      <w:lvlText w:val="%3"/>
      <w:lvlJc w:val="left"/>
      <w:pPr>
        <w:ind w:left="19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C600F06">
      <w:start w:val="1"/>
      <w:numFmt w:val="decimal"/>
      <w:lvlText w:val="%4"/>
      <w:lvlJc w:val="left"/>
      <w:pPr>
        <w:ind w:left="26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79066D4">
      <w:start w:val="1"/>
      <w:numFmt w:val="lowerLetter"/>
      <w:lvlText w:val="%5"/>
      <w:lvlJc w:val="left"/>
      <w:pPr>
        <w:ind w:left="33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6067AE2">
      <w:start w:val="1"/>
      <w:numFmt w:val="lowerRoman"/>
      <w:lvlText w:val="%6"/>
      <w:lvlJc w:val="left"/>
      <w:pPr>
        <w:ind w:left="40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D941094">
      <w:start w:val="1"/>
      <w:numFmt w:val="decimal"/>
      <w:lvlText w:val="%7"/>
      <w:lvlJc w:val="left"/>
      <w:pPr>
        <w:ind w:left="47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014F340">
      <w:start w:val="1"/>
      <w:numFmt w:val="lowerLetter"/>
      <w:lvlText w:val="%8"/>
      <w:lvlJc w:val="left"/>
      <w:pPr>
        <w:ind w:left="55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510E31A">
      <w:start w:val="1"/>
      <w:numFmt w:val="lowerRoman"/>
      <w:lvlText w:val="%9"/>
      <w:lvlJc w:val="left"/>
      <w:pPr>
        <w:ind w:left="62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5B131F6A"/>
    <w:multiLevelType w:val="hybridMultilevel"/>
    <w:tmpl w:val="DB1A2630"/>
    <w:lvl w:ilvl="0" w:tplc="611244D6">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53A07AE">
      <w:start w:val="1"/>
      <w:numFmt w:val="decimal"/>
      <w:lvlText w:val="%2."/>
      <w:lvlJc w:val="left"/>
      <w:pPr>
        <w:ind w:left="1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CFE6762">
      <w:start w:val="1"/>
      <w:numFmt w:val="lowerRoman"/>
      <w:lvlText w:val="%3"/>
      <w:lvlJc w:val="left"/>
      <w:pPr>
        <w:ind w:left="1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76220FA">
      <w:start w:val="1"/>
      <w:numFmt w:val="decimal"/>
      <w:lvlText w:val="%4"/>
      <w:lvlJc w:val="left"/>
      <w:pPr>
        <w:ind w:left="2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F78621C">
      <w:start w:val="1"/>
      <w:numFmt w:val="lowerLetter"/>
      <w:lvlText w:val="%5"/>
      <w:lvlJc w:val="left"/>
      <w:pPr>
        <w:ind w:left="2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50A591A">
      <w:start w:val="1"/>
      <w:numFmt w:val="lowerRoman"/>
      <w:lvlText w:val="%6"/>
      <w:lvlJc w:val="left"/>
      <w:pPr>
        <w:ind w:left="3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DF65524">
      <w:start w:val="1"/>
      <w:numFmt w:val="decimal"/>
      <w:lvlText w:val="%7"/>
      <w:lvlJc w:val="left"/>
      <w:pPr>
        <w:ind w:left="4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5BEAF2E">
      <w:start w:val="1"/>
      <w:numFmt w:val="lowerLetter"/>
      <w:lvlText w:val="%8"/>
      <w:lvlJc w:val="left"/>
      <w:pPr>
        <w:ind w:left="5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BD4DD98">
      <w:start w:val="1"/>
      <w:numFmt w:val="lowerRoman"/>
      <w:lvlText w:val="%9"/>
      <w:lvlJc w:val="left"/>
      <w:pPr>
        <w:ind w:left="57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60BC4AFD"/>
    <w:multiLevelType w:val="hybridMultilevel"/>
    <w:tmpl w:val="2E26C1B8"/>
    <w:lvl w:ilvl="0" w:tplc="4D58B17A">
      <w:start w:val="7"/>
      <w:numFmt w:val="decimal"/>
      <w:lvlText w:val="%1)"/>
      <w:lvlJc w:val="left"/>
      <w:pPr>
        <w:ind w:left="3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5180C1A">
      <w:start w:val="1"/>
      <w:numFmt w:val="lowerLetter"/>
      <w:lvlText w:val="%2)"/>
      <w:lvlJc w:val="left"/>
      <w:pPr>
        <w:ind w:left="5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E806548">
      <w:start w:val="1"/>
      <w:numFmt w:val="lowerRoman"/>
      <w:lvlText w:val="%3"/>
      <w:lvlJc w:val="left"/>
      <w:pPr>
        <w:ind w:left="13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06CA8EE">
      <w:start w:val="1"/>
      <w:numFmt w:val="decimal"/>
      <w:lvlText w:val="%4"/>
      <w:lvlJc w:val="left"/>
      <w:pPr>
        <w:ind w:left="20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522A9C8">
      <w:start w:val="1"/>
      <w:numFmt w:val="lowerLetter"/>
      <w:lvlText w:val="%5"/>
      <w:lvlJc w:val="left"/>
      <w:pPr>
        <w:ind w:left="27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4924550">
      <w:start w:val="1"/>
      <w:numFmt w:val="lowerRoman"/>
      <w:lvlText w:val="%6"/>
      <w:lvlJc w:val="left"/>
      <w:pPr>
        <w:ind w:left="34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1F00E1E">
      <w:start w:val="1"/>
      <w:numFmt w:val="decimal"/>
      <w:lvlText w:val="%7"/>
      <w:lvlJc w:val="left"/>
      <w:pPr>
        <w:ind w:left="41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116BB3C">
      <w:start w:val="1"/>
      <w:numFmt w:val="lowerLetter"/>
      <w:lvlText w:val="%8"/>
      <w:lvlJc w:val="left"/>
      <w:pPr>
        <w:ind w:left="49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AAE1260">
      <w:start w:val="1"/>
      <w:numFmt w:val="lowerRoman"/>
      <w:lvlText w:val="%9"/>
      <w:lvlJc w:val="left"/>
      <w:pPr>
        <w:ind w:left="56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6A3F3FC0"/>
    <w:multiLevelType w:val="hybridMultilevel"/>
    <w:tmpl w:val="F4E465BE"/>
    <w:lvl w:ilvl="0" w:tplc="B5643952">
      <w:start w:val="1"/>
      <w:numFmt w:val="decimal"/>
      <w:lvlText w:val="%1)"/>
      <w:lvlJc w:val="left"/>
      <w:pPr>
        <w:ind w:left="3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08C4BBA">
      <w:start w:val="1"/>
      <w:numFmt w:val="lowerLetter"/>
      <w:lvlText w:val="%2"/>
      <w:lvlJc w:val="left"/>
      <w:pPr>
        <w:ind w:left="11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BDC2266">
      <w:start w:val="1"/>
      <w:numFmt w:val="lowerRoman"/>
      <w:lvlText w:val="%3"/>
      <w:lvlJc w:val="left"/>
      <w:pPr>
        <w:ind w:left="19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93C620A">
      <w:start w:val="1"/>
      <w:numFmt w:val="decimal"/>
      <w:lvlText w:val="%4"/>
      <w:lvlJc w:val="left"/>
      <w:pPr>
        <w:ind w:left="26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70891B2">
      <w:start w:val="1"/>
      <w:numFmt w:val="lowerLetter"/>
      <w:lvlText w:val="%5"/>
      <w:lvlJc w:val="left"/>
      <w:pPr>
        <w:ind w:left="33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D9CF07E">
      <w:start w:val="1"/>
      <w:numFmt w:val="lowerRoman"/>
      <w:lvlText w:val="%6"/>
      <w:lvlJc w:val="left"/>
      <w:pPr>
        <w:ind w:left="40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E22D33C">
      <w:start w:val="1"/>
      <w:numFmt w:val="decimal"/>
      <w:lvlText w:val="%7"/>
      <w:lvlJc w:val="left"/>
      <w:pPr>
        <w:ind w:left="47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414B6A2">
      <w:start w:val="1"/>
      <w:numFmt w:val="lowerLetter"/>
      <w:lvlText w:val="%8"/>
      <w:lvlJc w:val="left"/>
      <w:pPr>
        <w:ind w:left="55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B8E9C5C">
      <w:start w:val="1"/>
      <w:numFmt w:val="lowerRoman"/>
      <w:lvlText w:val="%9"/>
      <w:lvlJc w:val="left"/>
      <w:pPr>
        <w:ind w:left="62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6DB75593"/>
    <w:multiLevelType w:val="hybridMultilevel"/>
    <w:tmpl w:val="4398776A"/>
    <w:lvl w:ilvl="0" w:tplc="B6B48DC0">
      <w:start w:val="1"/>
      <w:numFmt w:val="lowerLetter"/>
      <w:lvlText w:val="%1)"/>
      <w:lvlJc w:val="left"/>
      <w:pPr>
        <w:ind w:left="5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FB0BAB2">
      <w:start w:val="1"/>
      <w:numFmt w:val="lowerLetter"/>
      <w:lvlText w:val="%2"/>
      <w:lvlJc w:val="left"/>
      <w:pPr>
        <w:ind w:left="13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C1C0FAC">
      <w:start w:val="1"/>
      <w:numFmt w:val="lowerRoman"/>
      <w:lvlText w:val="%3"/>
      <w:lvlJc w:val="left"/>
      <w:pPr>
        <w:ind w:left="20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DA4D762">
      <w:start w:val="1"/>
      <w:numFmt w:val="decimal"/>
      <w:lvlText w:val="%4"/>
      <w:lvlJc w:val="left"/>
      <w:pPr>
        <w:ind w:left="27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7EA3CC8">
      <w:start w:val="1"/>
      <w:numFmt w:val="lowerLetter"/>
      <w:lvlText w:val="%5"/>
      <w:lvlJc w:val="left"/>
      <w:pPr>
        <w:ind w:left="34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4167586">
      <w:start w:val="1"/>
      <w:numFmt w:val="lowerRoman"/>
      <w:lvlText w:val="%6"/>
      <w:lvlJc w:val="left"/>
      <w:pPr>
        <w:ind w:left="41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E704EE4">
      <w:start w:val="1"/>
      <w:numFmt w:val="decimal"/>
      <w:lvlText w:val="%7"/>
      <w:lvlJc w:val="left"/>
      <w:pPr>
        <w:ind w:left="49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F985F14">
      <w:start w:val="1"/>
      <w:numFmt w:val="lowerLetter"/>
      <w:lvlText w:val="%8"/>
      <w:lvlJc w:val="left"/>
      <w:pPr>
        <w:ind w:left="56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F3CF72E">
      <w:start w:val="1"/>
      <w:numFmt w:val="lowerRoman"/>
      <w:lvlText w:val="%9"/>
      <w:lvlJc w:val="left"/>
      <w:pPr>
        <w:ind w:left="63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6E8E0068"/>
    <w:multiLevelType w:val="hybridMultilevel"/>
    <w:tmpl w:val="AE34730E"/>
    <w:lvl w:ilvl="0" w:tplc="84507CAE">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034CFDE">
      <w:start w:val="1"/>
      <w:numFmt w:val="decimal"/>
      <w:lvlText w:val="%2."/>
      <w:lvlJc w:val="left"/>
      <w:pPr>
        <w:ind w:left="3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72C4CF4">
      <w:start w:val="1"/>
      <w:numFmt w:val="lowerRoman"/>
      <w:lvlText w:val="%3"/>
      <w:lvlJc w:val="left"/>
      <w:pPr>
        <w:ind w:left="1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0BA2874">
      <w:start w:val="1"/>
      <w:numFmt w:val="decimal"/>
      <w:lvlText w:val="%4"/>
      <w:lvlJc w:val="left"/>
      <w:pPr>
        <w:ind w:left="2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BD8F054">
      <w:start w:val="1"/>
      <w:numFmt w:val="lowerLetter"/>
      <w:lvlText w:val="%5"/>
      <w:lvlJc w:val="left"/>
      <w:pPr>
        <w:ind w:left="2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43C63F8">
      <w:start w:val="1"/>
      <w:numFmt w:val="lowerRoman"/>
      <w:lvlText w:val="%6"/>
      <w:lvlJc w:val="left"/>
      <w:pPr>
        <w:ind w:left="3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0C42AAA">
      <w:start w:val="1"/>
      <w:numFmt w:val="decimal"/>
      <w:lvlText w:val="%7"/>
      <w:lvlJc w:val="left"/>
      <w:pPr>
        <w:ind w:left="4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3B686D0">
      <w:start w:val="1"/>
      <w:numFmt w:val="lowerLetter"/>
      <w:lvlText w:val="%8"/>
      <w:lvlJc w:val="left"/>
      <w:pPr>
        <w:ind w:left="5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1F4FA3C">
      <w:start w:val="1"/>
      <w:numFmt w:val="lowerRoman"/>
      <w:lvlText w:val="%9"/>
      <w:lvlJc w:val="left"/>
      <w:pPr>
        <w:ind w:left="57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702D2ED9"/>
    <w:multiLevelType w:val="hybridMultilevel"/>
    <w:tmpl w:val="E4C6397C"/>
    <w:lvl w:ilvl="0" w:tplc="D2106FE2">
      <w:start w:val="1"/>
      <w:numFmt w:val="decimal"/>
      <w:lvlText w:val="%1)"/>
      <w:lvlJc w:val="left"/>
      <w:pPr>
        <w:ind w:left="3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FF25B94">
      <w:start w:val="1"/>
      <w:numFmt w:val="lowerLetter"/>
      <w:lvlText w:val="%2"/>
      <w:lvlJc w:val="left"/>
      <w:pPr>
        <w:ind w:left="11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AAA584E">
      <w:start w:val="1"/>
      <w:numFmt w:val="lowerRoman"/>
      <w:lvlText w:val="%3"/>
      <w:lvlJc w:val="left"/>
      <w:pPr>
        <w:ind w:left="19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B2A38B2">
      <w:start w:val="1"/>
      <w:numFmt w:val="decimal"/>
      <w:lvlText w:val="%4"/>
      <w:lvlJc w:val="left"/>
      <w:pPr>
        <w:ind w:left="26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5D03354">
      <w:start w:val="1"/>
      <w:numFmt w:val="lowerLetter"/>
      <w:lvlText w:val="%5"/>
      <w:lvlJc w:val="left"/>
      <w:pPr>
        <w:ind w:left="33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5020CA0">
      <w:start w:val="1"/>
      <w:numFmt w:val="lowerRoman"/>
      <w:lvlText w:val="%6"/>
      <w:lvlJc w:val="left"/>
      <w:pPr>
        <w:ind w:left="40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684B840">
      <w:start w:val="1"/>
      <w:numFmt w:val="decimal"/>
      <w:lvlText w:val="%7"/>
      <w:lvlJc w:val="left"/>
      <w:pPr>
        <w:ind w:left="47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820AF12">
      <w:start w:val="1"/>
      <w:numFmt w:val="lowerLetter"/>
      <w:lvlText w:val="%8"/>
      <w:lvlJc w:val="left"/>
      <w:pPr>
        <w:ind w:left="55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564A5D6">
      <w:start w:val="1"/>
      <w:numFmt w:val="lowerRoman"/>
      <w:lvlText w:val="%9"/>
      <w:lvlJc w:val="left"/>
      <w:pPr>
        <w:ind w:left="62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77D20F17"/>
    <w:multiLevelType w:val="hybridMultilevel"/>
    <w:tmpl w:val="363E36A0"/>
    <w:lvl w:ilvl="0" w:tplc="F3E2D87A">
      <w:start w:val="1"/>
      <w:numFmt w:val="decimal"/>
      <w:lvlText w:val="%1)"/>
      <w:lvlJc w:val="left"/>
      <w:pPr>
        <w:ind w:left="3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C76483E">
      <w:start w:val="1"/>
      <w:numFmt w:val="lowerLetter"/>
      <w:lvlText w:val="%2"/>
      <w:lvlJc w:val="left"/>
      <w:pPr>
        <w:ind w:left="11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2046E20">
      <w:start w:val="1"/>
      <w:numFmt w:val="lowerRoman"/>
      <w:lvlText w:val="%3"/>
      <w:lvlJc w:val="left"/>
      <w:pPr>
        <w:ind w:left="19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54C2B32">
      <w:start w:val="1"/>
      <w:numFmt w:val="decimal"/>
      <w:lvlText w:val="%4"/>
      <w:lvlJc w:val="left"/>
      <w:pPr>
        <w:ind w:left="26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86A89AA">
      <w:start w:val="1"/>
      <w:numFmt w:val="lowerLetter"/>
      <w:lvlText w:val="%5"/>
      <w:lvlJc w:val="left"/>
      <w:pPr>
        <w:ind w:left="33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5025FDA">
      <w:start w:val="1"/>
      <w:numFmt w:val="lowerRoman"/>
      <w:lvlText w:val="%6"/>
      <w:lvlJc w:val="left"/>
      <w:pPr>
        <w:ind w:left="40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DCCAFA8">
      <w:start w:val="1"/>
      <w:numFmt w:val="decimal"/>
      <w:lvlText w:val="%7"/>
      <w:lvlJc w:val="left"/>
      <w:pPr>
        <w:ind w:left="47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2A05C28">
      <w:start w:val="1"/>
      <w:numFmt w:val="lowerLetter"/>
      <w:lvlText w:val="%8"/>
      <w:lvlJc w:val="left"/>
      <w:pPr>
        <w:ind w:left="55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51CEE74">
      <w:start w:val="1"/>
      <w:numFmt w:val="lowerRoman"/>
      <w:lvlText w:val="%9"/>
      <w:lvlJc w:val="left"/>
      <w:pPr>
        <w:ind w:left="62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78925BED"/>
    <w:multiLevelType w:val="hybridMultilevel"/>
    <w:tmpl w:val="D4E4A5DC"/>
    <w:lvl w:ilvl="0" w:tplc="7A324E5C">
      <w:start w:val="1"/>
      <w:numFmt w:val="decimal"/>
      <w:lvlText w:val="%1)"/>
      <w:lvlJc w:val="left"/>
      <w:pPr>
        <w:ind w:left="3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8B28D38">
      <w:start w:val="8"/>
      <w:numFmt w:val="decimal"/>
      <w:lvlText w:val="%2."/>
      <w:lvlJc w:val="left"/>
      <w:pPr>
        <w:ind w:left="8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AD25DD2">
      <w:start w:val="1"/>
      <w:numFmt w:val="lowerRoman"/>
      <w:lvlText w:val="%3"/>
      <w:lvlJc w:val="left"/>
      <w:pPr>
        <w:ind w:left="1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A2C6118">
      <w:start w:val="1"/>
      <w:numFmt w:val="decimal"/>
      <w:lvlText w:val="%4"/>
      <w:lvlJc w:val="left"/>
      <w:pPr>
        <w:ind w:left="2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E06E826">
      <w:start w:val="1"/>
      <w:numFmt w:val="lowerLetter"/>
      <w:lvlText w:val="%5"/>
      <w:lvlJc w:val="left"/>
      <w:pPr>
        <w:ind w:left="2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358CAAC">
      <w:start w:val="1"/>
      <w:numFmt w:val="lowerRoman"/>
      <w:lvlText w:val="%6"/>
      <w:lvlJc w:val="left"/>
      <w:pPr>
        <w:ind w:left="3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3EA8AFA">
      <w:start w:val="1"/>
      <w:numFmt w:val="decimal"/>
      <w:lvlText w:val="%7"/>
      <w:lvlJc w:val="left"/>
      <w:pPr>
        <w:ind w:left="4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C1E5E3A">
      <w:start w:val="1"/>
      <w:numFmt w:val="lowerLetter"/>
      <w:lvlText w:val="%8"/>
      <w:lvlJc w:val="left"/>
      <w:pPr>
        <w:ind w:left="5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8F41944">
      <w:start w:val="1"/>
      <w:numFmt w:val="lowerRoman"/>
      <w:lvlText w:val="%9"/>
      <w:lvlJc w:val="left"/>
      <w:pPr>
        <w:ind w:left="57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789E1799"/>
    <w:multiLevelType w:val="hybridMultilevel"/>
    <w:tmpl w:val="0BCC07FC"/>
    <w:lvl w:ilvl="0" w:tplc="95E4D80E">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60CD13E">
      <w:start w:val="8"/>
      <w:numFmt w:val="decimal"/>
      <w:lvlText w:val="%2."/>
      <w:lvlJc w:val="left"/>
      <w:pPr>
        <w:ind w:left="1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1E0C824">
      <w:start w:val="1"/>
      <w:numFmt w:val="lowerRoman"/>
      <w:lvlText w:val="%3"/>
      <w:lvlJc w:val="left"/>
      <w:pPr>
        <w:ind w:left="1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5446F9C">
      <w:start w:val="1"/>
      <w:numFmt w:val="decimal"/>
      <w:lvlText w:val="%4"/>
      <w:lvlJc w:val="left"/>
      <w:pPr>
        <w:ind w:left="2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966602A">
      <w:start w:val="1"/>
      <w:numFmt w:val="lowerLetter"/>
      <w:lvlText w:val="%5"/>
      <w:lvlJc w:val="left"/>
      <w:pPr>
        <w:ind w:left="2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D16CD44">
      <w:start w:val="1"/>
      <w:numFmt w:val="lowerRoman"/>
      <w:lvlText w:val="%6"/>
      <w:lvlJc w:val="left"/>
      <w:pPr>
        <w:ind w:left="3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7447BE4">
      <w:start w:val="1"/>
      <w:numFmt w:val="decimal"/>
      <w:lvlText w:val="%7"/>
      <w:lvlJc w:val="left"/>
      <w:pPr>
        <w:ind w:left="4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6F0DF62">
      <w:start w:val="1"/>
      <w:numFmt w:val="lowerLetter"/>
      <w:lvlText w:val="%8"/>
      <w:lvlJc w:val="left"/>
      <w:pPr>
        <w:ind w:left="5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6A84BE0">
      <w:start w:val="1"/>
      <w:numFmt w:val="lowerRoman"/>
      <w:lvlText w:val="%9"/>
      <w:lvlJc w:val="left"/>
      <w:pPr>
        <w:ind w:left="57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7F9127A8"/>
    <w:multiLevelType w:val="hybridMultilevel"/>
    <w:tmpl w:val="1EDE7BFE"/>
    <w:lvl w:ilvl="0" w:tplc="2D126356">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BD8F5C6">
      <w:start w:val="1"/>
      <w:numFmt w:val="decimal"/>
      <w:lvlText w:val="%2."/>
      <w:lvlJc w:val="left"/>
      <w:pPr>
        <w:ind w:left="5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288C4A8">
      <w:start w:val="1"/>
      <w:numFmt w:val="lowerRoman"/>
      <w:lvlText w:val="%3"/>
      <w:lvlJc w:val="left"/>
      <w:pPr>
        <w:ind w:left="1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F065292">
      <w:start w:val="1"/>
      <w:numFmt w:val="decimal"/>
      <w:lvlText w:val="%4"/>
      <w:lvlJc w:val="left"/>
      <w:pPr>
        <w:ind w:left="2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566EAEC">
      <w:start w:val="1"/>
      <w:numFmt w:val="lowerLetter"/>
      <w:lvlText w:val="%5"/>
      <w:lvlJc w:val="left"/>
      <w:pPr>
        <w:ind w:left="2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5882690">
      <w:start w:val="1"/>
      <w:numFmt w:val="lowerRoman"/>
      <w:lvlText w:val="%6"/>
      <w:lvlJc w:val="left"/>
      <w:pPr>
        <w:ind w:left="3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B5415A2">
      <w:start w:val="1"/>
      <w:numFmt w:val="decimal"/>
      <w:lvlText w:val="%7"/>
      <w:lvlJc w:val="left"/>
      <w:pPr>
        <w:ind w:left="4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9E284E6">
      <w:start w:val="1"/>
      <w:numFmt w:val="lowerLetter"/>
      <w:lvlText w:val="%8"/>
      <w:lvlJc w:val="left"/>
      <w:pPr>
        <w:ind w:left="5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EA64716">
      <w:start w:val="1"/>
      <w:numFmt w:val="lowerRoman"/>
      <w:lvlText w:val="%9"/>
      <w:lvlJc w:val="left"/>
      <w:pPr>
        <w:ind w:left="57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789668056">
    <w:abstractNumId w:val="2"/>
  </w:num>
  <w:num w:numId="2" w16cid:durableId="68819863">
    <w:abstractNumId w:val="10"/>
  </w:num>
  <w:num w:numId="3" w16cid:durableId="1717123449">
    <w:abstractNumId w:val="21"/>
  </w:num>
  <w:num w:numId="4" w16cid:durableId="1381053152">
    <w:abstractNumId w:val="9"/>
  </w:num>
  <w:num w:numId="5" w16cid:durableId="1530337675">
    <w:abstractNumId w:val="28"/>
  </w:num>
  <w:num w:numId="6" w16cid:durableId="319509207">
    <w:abstractNumId w:val="26"/>
  </w:num>
  <w:num w:numId="7" w16cid:durableId="1478301202">
    <w:abstractNumId w:val="13"/>
  </w:num>
  <w:num w:numId="8" w16cid:durableId="705257867">
    <w:abstractNumId w:val="7"/>
  </w:num>
  <w:num w:numId="9" w16cid:durableId="947935151">
    <w:abstractNumId w:val="22"/>
  </w:num>
  <w:num w:numId="10" w16cid:durableId="1888566772">
    <w:abstractNumId w:val="1"/>
  </w:num>
  <w:num w:numId="11" w16cid:durableId="558052556">
    <w:abstractNumId w:val="16"/>
  </w:num>
  <w:num w:numId="12" w16cid:durableId="1206409571">
    <w:abstractNumId w:val="18"/>
  </w:num>
  <w:num w:numId="13" w16cid:durableId="896162791">
    <w:abstractNumId w:val="0"/>
  </w:num>
  <w:num w:numId="14" w16cid:durableId="404036764">
    <w:abstractNumId w:val="19"/>
  </w:num>
  <w:num w:numId="15" w16cid:durableId="896478633">
    <w:abstractNumId w:val="14"/>
  </w:num>
  <w:num w:numId="16" w16cid:durableId="2135099256">
    <w:abstractNumId w:val="27"/>
  </w:num>
  <w:num w:numId="17" w16cid:durableId="138111118">
    <w:abstractNumId w:val="4"/>
  </w:num>
  <w:num w:numId="18" w16cid:durableId="1237739150">
    <w:abstractNumId w:val="24"/>
  </w:num>
  <w:num w:numId="19" w16cid:durableId="1011419427">
    <w:abstractNumId w:val="29"/>
  </w:num>
  <w:num w:numId="20" w16cid:durableId="1043991156">
    <w:abstractNumId w:val="5"/>
  </w:num>
  <w:num w:numId="21" w16cid:durableId="602149018">
    <w:abstractNumId w:val="17"/>
  </w:num>
  <w:num w:numId="22" w16cid:durableId="414933508">
    <w:abstractNumId w:val="8"/>
  </w:num>
  <w:num w:numId="23" w16cid:durableId="418991756">
    <w:abstractNumId w:val="20"/>
  </w:num>
  <w:num w:numId="24" w16cid:durableId="99227730">
    <w:abstractNumId w:val="12"/>
  </w:num>
  <w:num w:numId="25" w16cid:durableId="677318104">
    <w:abstractNumId w:val="31"/>
  </w:num>
  <w:num w:numId="26" w16cid:durableId="1795097656">
    <w:abstractNumId w:val="6"/>
  </w:num>
  <w:num w:numId="27" w16cid:durableId="206525859">
    <w:abstractNumId w:val="3"/>
  </w:num>
  <w:num w:numId="28" w16cid:durableId="208541156">
    <w:abstractNumId w:val="15"/>
  </w:num>
  <w:num w:numId="29" w16cid:durableId="64303959">
    <w:abstractNumId w:val="25"/>
  </w:num>
  <w:num w:numId="30" w16cid:durableId="2104064501">
    <w:abstractNumId w:val="23"/>
  </w:num>
  <w:num w:numId="31" w16cid:durableId="1466118417">
    <w:abstractNumId w:val="30"/>
  </w:num>
  <w:num w:numId="32" w16cid:durableId="157628556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1CF"/>
    <w:rsid w:val="005250E6"/>
    <w:rsid w:val="008E449C"/>
    <w:rsid w:val="00F731CF"/>
    <w:rsid w:val="00F7468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5CB0858-1E3C-4960-9C2B-5043ED664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l-PL" w:eastAsia="pl-P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11" w:line="249" w:lineRule="auto"/>
      <w:ind w:left="10" w:hanging="10"/>
      <w:jc w:val="both"/>
    </w:pPr>
    <w:rPr>
      <w:rFonts w:ascii="Times New Roman" w:eastAsia="Times New Roman" w:hAnsi="Times New Roman" w:cs="Times New Roman"/>
      <w:color w:val="000000"/>
      <w:sz w:val="22"/>
    </w:rPr>
  </w:style>
  <w:style w:type="paragraph" w:styleId="Nagwek1">
    <w:name w:val="heading 1"/>
    <w:next w:val="Normalny"/>
    <w:link w:val="Nagwek1Znak"/>
    <w:uiPriority w:val="9"/>
    <w:qFormat/>
    <w:pPr>
      <w:keepNext/>
      <w:keepLines/>
      <w:spacing w:after="0" w:line="259" w:lineRule="auto"/>
      <w:ind w:left="10" w:hanging="10"/>
      <w:outlineLvl w:val="0"/>
    </w:pPr>
    <w:rPr>
      <w:rFonts w:ascii="Times New Roman" w:eastAsia="Times New Roman" w:hAnsi="Times New Roman" w:cs="Times New Roman"/>
      <w:color w:val="000000"/>
    </w:rPr>
  </w:style>
  <w:style w:type="paragraph" w:styleId="Nagwek2">
    <w:name w:val="heading 2"/>
    <w:next w:val="Normalny"/>
    <w:link w:val="Nagwek2Znak"/>
    <w:uiPriority w:val="9"/>
    <w:unhideWhenUsed/>
    <w:qFormat/>
    <w:pPr>
      <w:keepNext/>
      <w:keepLines/>
      <w:spacing w:after="476" w:line="241" w:lineRule="auto"/>
      <w:ind w:left="1327" w:hanging="1327"/>
      <w:outlineLvl w:val="1"/>
    </w:pPr>
    <w:rPr>
      <w:rFonts w:ascii="Times New Roman" w:eastAsia="Times New Roman" w:hAnsi="Times New Roman" w:cs="Times New Roman"/>
      <w:b/>
      <w:color w:val="000000"/>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color w:val="000000"/>
      <w:sz w:val="24"/>
    </w:rPr>
  </w:style>
  <w:style w:type="character" w:customStyle="1" w:styleId="Nagwek2Znak">
    <w:name w:val="Nagłówek 2 Znak"/>
    <w:link w:val="Nagwek2"/>
    <w:rPr>
      <w:rFonts w:ascii="Times New Roman" w:eastAsia="Times New Roman" w:hAnsi="Times New Roman" w:cs="Times New Roman"/>
      <w:b/>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6.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5.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footer" Target="footer8.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7.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4985</Words>
  <Characters>29916</Characters>
  <Application>Microsoft Office Word</Application>
  <DocSecurity>0</DocSecurity>
  <Lines>249</Lines>
  <Paragraphs>69</Paragraphs>
  <ScaleCrop>false</ScaleCrop>
  <Company/>
  <LinksUpToDate>false</LinksUpToDate>
  <CharactersWithSpaces>34832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352/XXII/2025 Rady Miejskiej Węglińca z dnia 18 grudnia 2025 r. w sprawie uchwalenia miejscowego planu zagospodarowania przestrzennego dla części obrębu geodezyjnego Czerwona Woda</dc:title>
  <dc:subject>Uchwała nr 352/XXII/2025 z dnia 18 grudnia 2025 r. Rady Miejskiej Węglińca w sprawie uchwalenia miejscowego planu zagospodarowania przestrzennego dla części obrębu geodezyjnego Czerwona Woda</dc:subject>
  <dc:creator>Rada Miejska Weglinca</dc:creator>
  <cp:keywords/>
  <cp:lastModifiedBy>Tatiana</cp:lastModifiedBy>
  <cp:revision>2</cp:revision>
  <dcterms:created xsi:type="dcterms:W3CDTF">2025-12-22T13:28:00Z</dcterms:created>
  <dcterms:modified xsi:type="dcterms:W3CDTF">2025-12-22T13:28:00Z</dcterms:modified>
</cp:coreProperties>
</file>