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A77B3E" w:rsidRDefault="00000000">
      <w:pPr>
        <w:jc w:val="center"/>
        <w:rPr>
          <w:b/>
          <w:caps/>
        </w:rPr>
      </w:pPr>
      <w:r>
        <w:rPr>
          <w:b/>
          <w:caps/>
        </w:rPr>
        <w:t>Uchwała nr 360/XXIII/25</w:t>
      </w:r>
      <w:r>
        <w:rPr>
          <w:b/>
          <w:caps/>
        </w:rPr>
        <w:br/>
        <w:t>Rady Miejskiej Węglińca</w:t>
      </w:r>
    </w:p>
    <w:p w:rsidR="00A77B3E" w:rsidRDefault="00000000">
      <w:pPr>
        <w:spacing w:before="280" w:after="280"/>
        <w:jc w:val="center"/>
        <w:rPr>
          <w:b/>
          <w:caps/>
        </w:rPr>
      </w:pPr>
      <w:r>
        <w:t>z dnia 30 grudnia 2025 r.</w:t>
      </w:r>
    </w:p>
    <w:p w:rsidR="00A77B3E" w:rsidRDefault="00000000">
      <w:pPr>
        <w:keepNext/>
        <w:spacing w:after="480"/>
        <w:jc w:val="center"/>
      </w:pPr>
      <w:r>
        <w:rPr>
          <w:b/>
        </w:rPr>
        <w:t>w sprawie  przyjęcia Wieloletniej Prognozy Finansowej Gminy i Miasta Węgliniec</w:t>
      </w:r>
    </w:p>
    <w:p w:rsidR="00A77B3E" w:rsidRDefault="00000000">
      <w:pPr>
        <w:keepLines/>
        <w:spacing w:before="120" w:after="120"/>
        <w:ind w:firstLine="227"/>
      </w:pPr>
      <w:r>
        <w:t>Na podstawie art. 18 ust. 2 pkt. 9 lit. e oraz pkt. 10 ustawy z dnia 8 marca 1990r. o samorządzie gminnym (t.j. Dz.U. z 2025r., poz. 1153) oraz art. 226, 227,228 i 230 ust. 6 ustawy z dnia 27 sierpnia 2009r. o finansach publicznych (t. j. Dz. U. z 2025r. poz.1483)  Rada Miejska Węglińca uchwala, co następuje:</w:t>
      </w:r>
    </w:p>
    <w:p w:rsidR="00A77B3E" w:rsidRDefault="00000000">
      <w:pPr>
        <w:keepLines/>
        <w:spacing w:before="120" w:after="120"/>
        <w:ind w:firstLine="340"/>
        <w:rPr>
          <w:color w:val="000000"/>
          <w:u w:color="000000"/>
        </w:rPr>
      </w:pPr>
      <w:r>
        <w:rPr>
          <w:b/>
        </w:rPr>
        <w:t>§ 1. </w:t>
      </w:r>
      <w:r>
        <w:t>1. Przyjmuje się Wieloletnią Prognozę Finansową Gminy i Miasta Węgliniec na lata 2026 - 2042 stanowiącą załącznik nr 1 do niniejszej uchwały.</w:t>
      </w:r>
    </w:p>
    <w:p w:rsidR="00A77B3E" w:rsidRDefault="00000000">
      <w:pPr>
        <w:keepLines/>
        <w:spacing w:before="120" w:after="120"/>
        <w:ind w:firstLine="340"/>
        <w:rPr>
          <w:color w:val="000000"/>
          <w:u w:color="000000"/>
        </w:rPr>
      </w:pPr>
      <w:r>
        <w:t>2. </w:t>
      </w:r>
      <w:r>
        <w:rPr>
          <w:color w:val="000000"/>
          <w:u w:color="000000"/>
        </w:rPr>
        <w:t>Przyjmuje się wykaz realizowanych i planowanych przedsięwzięć określony w załączniku nr 2 do niniejszej uchwały.</w:t>
      </w:r>
    </w:p>
    <w:p w:rsidR="00A77B3E" w:rsidRDefault="00000000">
      <w:pPr>
        <w:keepLines/>
        <w:spacing w:before="120" w:after="120"/>
        <w:ind w:firstLine="340"/>
        <w:rPr>
          <w:color w:val="000000"/>
          <w:u w:color="000000"/>
        </w:rPr>
      </w:pPr>
      <w:r>
        <w:rPr>
          <w:b/>
        </w:rPr>
        <w:t>§ 2. </w:t>
      </w:r>
      <w:r>
        <w:rPr>
          <w:color w:val="000000"/>
          <w:u w:color="000000"/>
        </w:rPr>
        <w:t>Objaśnienia wartości przyjętych w wieloletniej prognozie finansowej, o której mowa w § 1, stanowią załącznik nr 3 do niniejszej uchwały.</w:t>
      </w:r>
    </w:p>
    <w:p w:rsidR="00A77B3E" w:rsidRDefault="00000000">
      <w:pPr>
        <w:keepLines/>
        <w:spacing w:before="120" w:after="120"/>
        <w:ind w:firstLine="340"/>
        <w:rPr>
          <w:color w:val="000000"/>
          <w:u w:color="000000"/>
        </w:rPr>
      </w:pPr>
      <w:r>
        <w:rPr>
          <w:b/>
        </w:rPr>
        <w:t>§ 3. </w:t>
      </w:r>
      <w:r>
        <w:rPr>
          <w:color w:val="000000"/>
          <w:u w:color="000000"/>
        </w:rPr>
        <w:t>Upoważnia się Burmistrza Gminy i Miasta Węgliniec do zaciągania zobowiązań:</w:t>
      </w:r>
    </w:p>
    <w:p w:rsidR="00A77B3E" w:rsidRDefault="00000000">
      <w:pPr>
        <w:spacing w:before="120" w:after="120"/>
        <w:ind w:left="340" w:hanging="227"/>
        <w:rPr>
          <w:color w:val="000000"/>
          <w:u w:color="000000"/>
        </w:rPr>
      </w:pPr>
      <w:r>
        <w:t>1) </w:t>
      </w:r>
      <w:r>
        <w:rPr>
          <w:color w:val="000000"/>
          <w:u w:color="000000"/>
        </w:rPr>
        <w:t>związanych z realizacją przedsięwzięć ujętych w załączniku nr 2 do niniejszej uchwały,</w:t>
      </w:r>
    </w:p>
    <w:p w:rsidR="00A77B3E" w:rsidRDefault="00000000">
      <w:pPr>
        <w:spacing w:before="120" w:after="120"/>
        <w:ind w:left="340" w:hanging="227"/>
        <w:rPr>
          <w:color w:val="000000"/>
          <w:u w:color="000000"/>
        </w:rPr>
      </w:pPr>
      <w:r>
        <w:t>2) </w:t>
      </w:r>
      <w:r>
        <w:rPr>
          <w:color w:val="000000"/>
          <w:u w:color="000000"/>
        </w:rPr>
        <w:t>z tytułu umów, których realizacja w roku budżetowym i w latach następnych jest niezbędna do zapewnienia ciągłości działania jednostki i z których wynikające płatności wykraczają poza rok budżetowy.</w:t>
      </w:r>
    </w:p>
    <w:p w:rsidR="00A77B3E" w:rsidRDefault="00000000">
      <w:pPr>
        <w:keepLines/>
        <w:spacing w:before="120" w:after="120"/>
        <w:ind w:firstLine="340"/>
        <w:rPr>
          <w:color w:val="000000"/>
          <w:u w:color="000000"/>
        </w:rPr>
      </w:pPr>
      <w:r>
        <w:rPr>
          <w:b/>
        </w:rPr>
        <w:t>§ 4. </w:t>
      </w:r>
      <w:r>
        <w:rPr>
          <w:color w:val="000000"/>
          <w:u w:color="000000"/>
        </w:rPr>
        <w:t>Upoważnia się Burmistrza Gminy i Miasta Węgliniec do przekazania uprawnień kierownikom jednostek organizacyjnych Gminy i Miasta Węgliniec do zaciągania zobowiązań, o których mowa w § 3 uchwały.</w:t>
      </w:r>
    </w:p>
    <w:p w:rsidR="00A77B3E" w:rsidRDefault="00000000">
      <w:pPr>
        <w:keepLines/>
        <w:spacing w:before="120" w:after="120"/>
        <w:ind w:firstLine="340"/>
        <w:rPr>
          <w:color w:val="000000"/>
          <w:u w:color="000000"/>
        </w:rPr>
      </w:pPr>
      <w:r>
        <w:rPr>
          <w:b/>
        </w:rPr>
        <w:t>§ 5. </w:t>
      </w:r>
      <w:r>
        <w:rPr>
          <w:color w:val="000000"/>
          <w:u w:color="000000"/>
        </w:rPr>
        <w:t>Z dniem 31.12.2025r. traci moc Uchwała nr  144/XI/2024 Rady Miejskiej Węglińca z dnia 31 grudnia 2024r.  sprawie przyjęcia Wieloletniej Prognozy Finansowej Gminy i Miasta Węgliniec wraz ze zmianami.</w:t>
      </w:r>
    </w:p>
    <w:p w:rsidR="00A77B3E" w:rsidRDefault="00000000">
      <w:pPr>
        <w:keepNext/>
        <w:keepLines/>
        <w:spacing w:before="120" w:after="120"/>
        <w:ind w:firstLine="340"/>
        <w:rPr>
          <w:color w:val="000000"/>
          <w:u w:color="000000"/>
        </w:rPr>
      </w:pPr>
      <w:r>
        <w:rPr>
          <w:b/>
        </w:rPr>
        <w:t>§ 6. </w:t>
      </w:r>
      <w:r>
        <w:rPr>
          <w:color w:val="000000"/>
          <w:u w:color="000000"/>
        </w:rPr>
        <w:t>Uchwała wchodzi w życie z dniem 1 stycznia 2026 roku.</w:t>
      </w:r>
    </w:p>
    <w:p w:rsidR="00A77B3E" w:rsidRDefault="00A77B3E">
      <w:pPr>
        <w:keepNext/>
        <w:keepLines/>
        <w:spacing w:before="120" w:after="120"/>
        <w:ind w:firstLine="340"/>
        <w:rPr>
          <w:color w:val="000000"/>
          <w:u w:color="000000"/>
        </w:rPr>
      </w:pPr>
    </w:p>
    <w:p w:rsidR="00A77B3E" w:rsidRDefault="00000000">
      <w:pPr>
        <w:keepNext/>
        <w:rPr>
          <w:color w:val="000000"/>
          <w:u w:color="000000"/>
        </w:rPr>
      </w:pPr>
      <w:r>
        <w:rPr>
          <w:color w:val="000000"/>
        </w:rPr>
        <w:t> </w:t>
      </w:r>
    </w:p>
    <w:tbl>
      <w:tblPr>
        <w:tblW w:w="5000" w:type="pct"/>
        <w:tblCellMar>
          <w:left w:w="0" w:type="dxa"/>
          <w:right w:w="0" w:type="dxa"/>
        </w:tblCellMar>
        <w:tblLook w:val="04A0" w:firstRow="1" w:lastRow="0" w:firstColumn="1" w:lastColumn="0" w:noHBand="0" w:noVBand="1"/>
      </w:tblPr>
      <w:tblGrid>
        <w:gridCol w:w="4933"/>
        <w:gridCol w:w="4933"/>
      </w:tblGrid>
      <w:tr w:rsidR="00912AFC">
        <w:tc>
          <w:tcPr>
            <w:tcW w:w="2500" w:type="pct"/>
            <w:tcMar>
              <w:top w:w="0" w:type="dxa"/>
              <w:left w:w="0" w:type="dxa"/>
              <w:bottom w:w="0" w:type="dxa"/>
              <w:right w:w="0" w:type="dxa"/>
            </w:tcMar>
            <w:hideMark/>
          </w:tcPr>
          <w:p w:rsidR="00912AFC" w:rsidRDefault="00912AFC">
            <w:pPr>
              <w:keepNext/>
              <w:keepLines/>
              <w:jc w:val="left"/>
              <w:rPr>
                <w:color w:val="000000"/>
                <w:szCs w:val="22"/>
              </w:rPr>
            </w:pPr>
          </w:p>
        </w:tc>
        <w:tc>
          <w:tcPr>
            <w:tcW w:w="2500" w:type="pct"/>
            <w:tcMar>
              <w:top w:w="0" w:type="dxa"/>
              <w:left w:w="0" w:type="dxa"/>
              <w:bottom w:w="0" w:type="dxa"/>
              <w:right w:w="0" w:type="dxa"/>
            </w:tcMar>
            <w:hideMark/>
          </w:tcPr>
          <w:p w:rsidR="00912AFC" w:rsidRDefault="00000000">
            <w:pPr>
              <w:keepNext/>
              <w:keepLines/>
              <w:spacing w:before="560" w:after="560"/>
              <w:ind w:left="1134" w:right="1134"/>
              <w:jc w:val="center"/>
              <w:rPr>
                <w:color w:val="000000"/>
                <w:szCs w:val="22"/>
              </w:rPr>
            </w:pPr>
            <w:r>
              <w:rPr>
                <w:color w:val="000000"/>
                <w:szCs w:val="22"/>
              </w:rPr>
              <w:t>Przewodniczący Rady</w:t>
            </w:r>
            <w:r>
              <w:rPr>
                <w:color w:val="000000"/>
                <w:szCs w:val="22"/>
              </w:rPr>
              <w:br/>
            </w:r>
            <w:r>
              <w:rPr>
                <w:color w:val="000000"/>
                <w:szCs w:val="22"/>
              </w:rPr>
              <w:br/>
            </w:r>
            <w:r>
              <w:rPr>
                <w:color w:val="000000"/>
                <w:szCs w:val="22"/>
              </w:rPr>
              <w:br/>
            </w:r>
            <w:r>
              <w:rPr>
                <w:b/>
              </w:rPr>
              <w:t>Marek Wawrzynek</w:t>
            </w:r>
          </w:p>
        </w:tc>
      </w:tr>
    </w:tbl>
    <w:p w:rsidR="00A77B3E" w:rsidRDefault="00A77B3E">
      <w:pPr>
        <w:keepNext/>
        <w:rPr>
          <w:color w:val="000000"/>
          <w:u w:color="000000"/>
        </w:rPr>
        <w:sectPr w:rsidR="00A77B3E">
          <w:footerReference w:type="default" r:id="rId7"/>
          <w:endnotePr>
            <w:numFmt w:val="decimal"/>
          </w:endnotePr>
          <w:pgSz w:w="11906" w:h="16838"/>
          <w:pgMar w:top="1417" w:right="1020" w:bottom="992" w:left="1020" w:header="708" w:footer="708" w:gutter="0"/>
          <w:cols w:space="708"/>
          <w:docGrid w:linePitch="360"/>
        </w:sectPr>
      </w:pPr>
    </w:p>
    <w:p w:rsidR="00A77B3E" w:rsidRDefault="00000000">
      <w:pPr>
        <w:keepNext/>
        <w:spacing w:before="280" w:after="280" w:line="360" w:lineRule="auto"/>
        <w:ind w:left="4535"/>
        <w:jc w:val="left"/>
        <w:rPr>
          <w:color w:val="000000"/>
          <w:u w:color="000000"/>
        </w:rPr>
        <w:sectPr w:rsidR="00A77B3E">
          <w:footerReference w:type="default" r:id="rId8"/>
          <w:endnotePr>
            <w:numFmt w:val="decimal"/>
          </w:endnotePr>
          <w:pgSz w:w="11906" w:h="16838"/>
          <w:pgMar w:top="1417" w:right="1020" w:bottom="992" w:left="1020" w:header="708" w:footer="708" w:gutter="0"/>
          <w:pgNumType w:start="1"/>
          <w:cols w:space="708"/>
          <w:docGrid w:linePitch="360"/>
        </w:sectPr>
      </w:pPr>
      <w:r>
        <w:rPr>
          <w:color w:val="000000"/>
          <w:u w:color="000000"/>
        </w:rPr>
        <w:lastRenderedPageBreak/>
        <w:fldChar w:fldCharType="begin"/>
      </w:r>
      <w:r>
        <w:rPr>
          <w:color w:val="000000"/>
          <w:u w:color="000000"/>
        </w:rPr>
        <w:fldChar w:fldCharType="separate"/>
      </w:r>
      <w:r>
        <w:rPr>
          <w:color w:val="000000"/>
          <w:u w:color="000000"/>
        </w:rPr>
        <w:fldChar w:fldCharType="end"/>
      </w:r>
      <w:r>
        <w:t>Załącznik  nr  1 do uchwały</w:t>
      </w:r>
      <w:r>
        <w:rPr>
          <w:color w:val="000000"/>
          <w:u w:color="000000"/>
        </w:rPr>
        <w:t xml:space="preserve">  nr  360/XXIII/25</w:t>
      </w:r>
      <w:r>
        <w:rPr>
          <w:color w:val="000000"/>
          <w:u w:color="000000"/>
        </w:rPr>
        <w:br/>
      </w:r>
      <w:r>
        <w:t>Rady Miejskiej Węglińca</w:t>
      </w:r>
      <w:r>
        <w:rPr>
          <w:color w:val="000000"/>
          <w:u w:color="000000"/>
        </w:rPr>
        <w:br/>
      </w:r>
      <w:r>
        <w:t>z dnia 30 grudnia 2025 r.</w:t>
      </w:r>
      <w:r>
        <w:rPr>
          <w:color w:val="000000"/>
          <w:u w:color="000000"/>
        </w:rPr>
        <w:br/>
      </w:r>
      <w:hyperlink r:id="rId9" w:history="1">
        <w:r w:rsidR="00A77B3E">
          <w:rPr>
            <w:rStyle w:val="Hipercze"/>
            <w:color w:val="000000"/>
            <w:u w:val="none" w:color="000000"/>
          </w:rPr>
          <w:t>Zalacznik1.pdf</w:t>
        </w:r>
      </w:hyperlink>
    </w:p>
    <w:p w:rsidR="00A77B3E" w:rsidRDefault="00000000">
      <w:pPr>
        <w:keepNext/>
        <w:spacing w:before="280" w:after="280" w:line="360" w:lineRule="auto"/>
        <w:ind w:left="4535"/>
        <w:jc w:val="left"/>
        <w:rPr>
          <w:color w:val="000000"/>
          <w:u w:color="000000"/>
        </w:rPr>
        <w:sectPr w:rsidR="00A77B3E">
          <w:footerReference w:type="default" r:id="rId10"/>
          <w:endnotePr>
            <w:numFmt w:val="decimal"/>
          </w:endnotePr>
          <w:pgSz w:w="11906" w:h="16838"/>
          <w:pgMar w:top="1417" w:right="1020" w:bottom="992" w:left="1020" w:header="708" w:footer="708" w:gutter="0"/>
          <w:pgNumType w:start="1"/>
          <w:cols w:space="708"/>
          <w:docGrid w:linePitch="360"/>
        </w:sectPr>
      </w:pPr>
      <w:r>
        <w:rPr>
          <w:color w:val="000000"/>
          <w:u w:color="000000"/>
        </w:rPr>
        <w:lastRenderedPageBreak/>
        <w:fldChar w:fldCharType="begin"/>
      </w:r>
      <w:r>
        <w:rPr>
          <w:color w:val="000000"/>
          <w:u w:color="000000"/>
        </w:rPr>
        <w:fldChar w:fldCharType="separate"/>
      </w:r>
      <w:r>
        <w:rPr>
          <w:color w:val="000000"/>
          <w:u w:color="000000"/>
        </w:rPr>
        <w:fldChar w:fldCharType="end"/>
      </w:r>
      <w:r>
        <w:t>Załącznik  nr  2 do uchwały</w:t>
      </w:r>
      <w:r>
        <w:rPr>
          <w:color w:val="000000"/>
          <w:u w:color="000000"/>
        </w:rPr>
        <w:t xml:space="preserve">  nr  360/XXIII/25</w:t>
      </w:r>
      <w:r>
        <w:rPr>
          <w:color w:val="000000"/>
          <w:u w:color="000000"/>
        </w:rPr>
        <w:br/>
      </w:r>
      <w:r>
        <w:t>Rady Miejskiej Węglińca</w:t>
      </w:r>
      <w:r>
        <w:rPr>
          <w:color w:val="000000"/>
          <w:u w:color="000000"/>
        </w:rPr>
        <w:br/>
      </w:r>
      <w:r>
        <w:t>z dnia 30 grudnia 2025 r.</w:t>
      </w:r>
      <w:r>
        <w:rPr>
          <w:color w:val="000000"/>
          <w:u w:color="000000"/>
        </w:rPr>
        <w:br/>
      </w:r>
      <w:hyperlink r:id="rId11" w:history="1">
        <w:r w:rsidR="00A77B3E">
          <w:rPr>
            <w:rStyle w:val="Hipercze"/>
            <w:color w:val="000000"/>
            <w:u w:val="none" w:color="000000"/>
          </w:rPr>
          <w:t>Zalacznik2.pdf</w:t>
        </w:r>
      </w:hyperlink>
    </w:p>
    <w:p w:rsidR="00A77B3E" w:rsidRDefault="00000000">
      <w:pPr>
        <w:keepNext/>
        <w:spacing w:before="280" w:after="280" w:line="360" w:lineRule="auto"/>
        <w:ind w:left="4535"/>
        <w:jc w:val="left"/>
      </w:pPr>
      <w:r>
        <w:rPr>
          <w:color w:val="000000"/>
          <w:u w:color="000000"/>
        </w:rPr>
        <w:lastRenderedPageBreak/>
        <w:fldChar w:fldCharType="begin"/>
      </w:r>
      <w:r>
        <w:rPr>
          <w:color w:val="000000"/>
          <w:u w:color="000000"/>
        </w:rPr>
        <w:fldChar w:fldCharType="separate"/>
      </w:r>
      <w:r>
        <w:rPr>
          <w:color w:val="000000"/>
          <w:u w:color="000000"/>
        </w:rPr>
        <w:fldChar w:fldCharType="end"/>
      </w:r>
      <w:r>
        <w:t>Załącznik  nr  3 do uchwały</w:t>
      </w:r>
      <w:r>
        <w:rPr>
          <w:color w:val="000000"/>
          <w:u w:color="000000"/>
        </w:rPr>
        <w:t xml:space="preserve">  nr  360/XXIII/25</w:t>
      </w:r>
      <w:r>
        <w:rPr>
          <w:color w:val="000000"/>
          <w:u w:color="000000"/>
        </w:rPr>
        <w:br/>
      </w:r>
      <w:r>
        <w:t>Rady Miejskiej Węglińca</w:t>
      </w:r>
      <w:r>
        <w:rPr>
          <w:color w:val="000000"/>
          <w:u w:color="000000"/>
        </w:rPr>
        <w:br/>
      </w:r>
      <w:r>
        <w:t>z dnia 30 grudnia 2025 r.</w:t>
      </w:r>
      <w:r>
        <w:rPr>
          <w:color w:val="000000"/>
          <w:u w:color="000000"/>
        </w:rPr>
        <w:br/>
      </w:r>
      <w:hyperlink r:id="rId12" w:history="1">
        <w:r w:rsidR="00A77B3E">
          <w:rPr>
            <w:rStyle w:val="Hipercze"/>
            <w:color w:val="000000"/>
            <w:u w:val="none" w:color="000000"/>
          </w:rPr>
          <w:t>Zalacznik3.pdf</w:t>
        </w:r>
      </w:hyperlink>
    </w:p>
    <w:p w:rsidR="00932B9E" w:rsidRPr="00932B9E" w:rsidRDefault="00932B9E" w:rsidP="00932B9E">
      <w:pPr>
        <w:keepNext/>
        <w:spacing w:before="280" w:after="280" w:line="360" w:lineRule="auto"/>
        <w:jc w:val="left"/>
        <w:rPr>
          <w:color w:val="000000"/>
          <w:u w:color="000000"/>
        </w:rPr>
      </w:pP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 </w:t>
      </w:r>
      <w:r w:rsidRPr="00932B9E">
        <w:rPr>
          <w:b/>
          <w:bCs/>
          <w:color w:val="000000"/>
          <w:u w:color="000000"/>
        </w:rPr>
        <w:t xml:space="preserve">Objaśnienia wartości przyjętych w Wieloletniej Prognozie Finansowej </w:t>
      </w:r>
    </w:p>
    <w:p w:rsidR="00932B9E" w:rsidRPr="00932B9E" w:rsidRDefault="00932B9E" w:rsidP="00932B9E">
      <w:pPr>
        <w:keepNext/>
        <w:spacing w:before="280" w:after="280" w:line="360" w:lineRule="auto"/>
        <w:jc w:val="left"/>
        <w:rPr>
          <w:color w:val="000000"/>
          <w:u w:color="000000"/>
        </w:rPr>
      </w:pPr>
      <w:r w:rsidRPr="00932B9E">
        <w:rPr>
          <w:b/>
          <w:bCs/>
          <w:color w:val="000000"/>
          <w:u w:color="000000"/>
        </w:rPr>
        <w:t xml:space="preserve">Gminy i Miasta Węgliniec </w:t>
      </w:r>
    </w:p>
    <w:p w:rsidR="00932B9E" w:rsidRPr="00932B9E" w:rsidRDefault="00932B9E" w:rsidP="00932B9E">
      <w:pPr>
        <w:keepNext/>
        <w:spacing w:before="280" w:after="280" w:line="360" w:lineRule="auto"/>
        <w:jc w:val="left"/>
        <w:rPr>
          <w:color w:val="000000"/>
          <w:u w:color="000000"/>
        </w:rPr>
      </w:pPr>
      <w:r w:rsidRPr="00932B9E">
        <w:rPr>
          <w:b/>
          <w:bCs/>
          <w:color w:val="000000"/>
          <w:u w:color="000000"/>
        </w:rPr>
        <w:t xml:space="preserve">na lata 2026 - 2042 </w:t>
      </w:r>
    </w:p>
    <w:p w:rsidR="00932B9E" w:rsidRPr="00932B9E" w:rsidRDefault="00932B9E" w:rsidP="00932B9E">
      <w:pPr>
        <w:keepNext/>
        <w:spacing w:before="280" w:after="280" w:line="360" w:lineRule="auto"/>
        <w:jc w:val="left"/>
        <w:rPr>
          <w:color w:val="000000"/>
          <w:u w:color="000000"/>
        </w:rPr>
      </w:pPr>
      <w:r w:rsidRPr="00932B9E">
        <w:rPr>
          <w:b/>
          <w:bCs/>
          <w:color w:val="000000"/>
          <w:u w:color="000000"/>
        </w:rPr>
        <w:t xml:space="preserve">Uwagi ogólne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Wieloletnia Prognoza Finansowa została na lata 2026 - 2042 została opracowana zgodnie z przepisami art. 226 ustawy z dnia 27 sierpnia 2009r. o finansach publicznych przy uwzględnieniu założeń makroekonomicznych opublikowanych w kwietniu 2025 r. przez Ministra Finansów „Wieloletnie założenia makroekonomiczne na lata 2025-2029” (z aktualizacją w dniu 17.07.2025r.) oraz „Założeniach Projektu Budżetu Państwa na rok 2026” opublikowanych przez Radę Ministrów we wrześniu 2025r. Wieloletnia Prognoza Finansowa Gminy Węgliniec obejmuje rok budżetowy oraz okres, na który zaciągnięto lub przewiduje się zaciągnąć zobowiązania. Poza danymi dla lat 2026-2042 zaprezentowano wykonanie budżetu w latach 2019-2024 oraz wielkości wynikające z planu za III kwartały 2025roku. Kolumna obrazująca wykonanie 2025 roku zaprezentowana została na podstawie planu ustalonego na dzień 30.12.2025r. </w:t>
      </w:r>
    </w:p>
    <w:p w:rsidR="00932B9E" w:rsidRPr="00932B9E" w:rsidRDefault="00932B9E" w:rsidP="00932B9E">
      <w:pPr>
        <w:keepNext/>
        <w:spacing w:before="280" w:after="280" w:line="360" w:lineRule="auto"/>
        <w:jc w:val="left"/>
        <w:rPr>
          <w:color w:val="000000"/>
          <w:u w:color="000000"/>
        </w:rPr>
      </w:pPr>
      <w:r w:rsidRPr="00932B9E">
        <w:rPr>
          <w:b/>
          <w:bCs/>
          <w:color w:val="000000"/>
          <w:u w:color="000000"/>
        </w:rPr>
        <w:t xml:space="preserve">Dochody </w:t>
      </w:r>
    </w:p>
    <w:p w:rsidR="00932B9E" w:rsidRPr="00932B9E" w:rsidRDefault="00932B9E" w:rsidP="00932B9E">
      <w:pPr>
        <w:keepNext/>
        <w:spacing w:before="280" w:after="280" w:line="360" w:lineRule="auto"/>
        <w:jc w:val="left"/>
        <w:rPr>
          <w:color w:val="000000"/>
          <w:u w:color="000000"/>
        </w:rPr>
      </w:pPr>
      <w:r w:rsidRPr="00932B9E">
        <w:rPr>
          <w:b/>
          <w:bCs/>
          <w:color w:val="000000"/>
          <w:u w:color="000000"/>
        </w:rPr>
        <w:t xml:space="preserve">1. Dochody bieżące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W roku 2027-2042 dla dochodów bieżących przyjęto dynamikę 3,0%, zgodnie z prognozami wzrostu PKB i niewielką korektą do realiów Gminy Węgliniec. Dynamika dochodów ustalona została w oparciu o założenia makroekonomiczne. Przyjęcie właściwej prognozy wzrostu PKB, a co za tym idzie dynamiki wzrostu dochodów budżetowych na kolejne lata budżetowe jest, ze względu na sytuację gospodarczą na świecie, niezwykle trudne.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W okresie prognozowania 2026-2042 wydatki bieżące są w całości pokrywane z dochodów bieżących, jednak pojawiają się obszary zagrożeń w tym zakresie- głównie utrzymanie systemu gospodarki odpadami, który już w ostatnich kilku latach nie bilansuje się osiąganymi dochodami z opłat wnoszonych przez mieszkańców a w roku 2026 jest to już kwota 644.945,31 zł. </w:t>
      </w:r>
    </w:p>
    <w:p w:rsidR="00932B9E" w:rsidRPr="00932B9E" w:rsidRDefault="00932B9E" w:rsidP="00932B9E">
      <w:pPr>
        <w:keepNext/>
        <w:spacing w:before="280" w:after="280" w:line="360" w:lineRule="auto"/>
        <w:jc w:val="left"/>
        <w:rPr>
          <w:color w:val="000000"/>
          <w:u w:color="000000"/>
        </w:rPr>
      </w:pPr>
      <w:r w:rsidRPr="00932B9E">
        <w:rPr>
          <w:color w:val="000000"/>
          <w:u w:color="000000"/>
        </w:rPr>
        <w:lastRenderedPageBreak/>
        <w:t xml:space="preserve">Zaznaczyć należy, iż w zakresie planowanych na 2026 rok dochodów i w latach najbliższych może wystąpić ryzyko ich niewykonania. Zostały one zaplanowane w sposób realistyczny, 2 </w:t>
      </w:r>
    </w:p>
    <w:p w:rsidR="00932B9E" w:rsidRPr="00932B9E" w:rsidRDefault="00932B9E" w:rsidP="00932B9E">
      <w:pPr>
        <w:keepNext/>
        <w:spacing w:before="280" w:after="280" w:line="360" w:lineRule="auto"/>
        <w:jc w:val="left"/>
        <w:rPr>
          <w:color w:val="000000"/>
          <w:u w:color="000000"/>
        </w:rPr>
      </w:pP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jednakże współczynnik ściągalności głównych dochodów podatkowych oraz dochodów z dzierżaw i wynajmów może ulec korekcie.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W roku 2026 przyjęto dodatkowo dochody bieżące wynikające z dofinansowania z budżetu Unii Europejskiej i budżetu państwa przedsięwzięć: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 przedsięwzięcie realizowane w latach 2025- 2026 - "Realizacja programu Czyste Powietrze"- w kwotach odpowiednio 68.500,00zł; 5.000,00zł. </w:t>
      </w:r>
    </w:p>
    <w:p w:rsidR="00932B9E" w:rsidRPr="00932B9E" w:rsidRDefault="00932B9E" w:rsidP="00932B9E">
      <w:pPr>
        <w:keepNext/>
        <w:spacing w:before="280" w:after="280" w:line="360" w:lineRule="auto"/>
        <w:jc w:val="left"/>
        <w:rPr>
          <w:color w:val="000000"/>
          <w:u w:color="000000"/>
        </w:rPr>
      </w:pPr>
      <w:r w:rsidRPr="00932B9E">
        <w:rPr>
          <w:b/>
          <w:bCs/>
          <w:color w:val="000000"/>
          <w:u w:color="000000"/>
        </w:rPr>
        <w:t xml:space="preserve">2. Dochody majątkowe: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W roku 2026 zaplanowano dochody ze sprzedaży majątku na podstawie informacji przekazanej przez Wydział Infrastruktury Komunalnej, Ochrony Środowiska i Gospodarki Gruntami. Przy uwzględnianiu wielkości tych dochodów brano pod uwagę obserwowaną dynamikę sprzedaży w ostatnich latach i obowiązywanie planów zagospodarowania przestrzennego dla poszczególnych miejscowości w gminie. W roku 2026 przyjęto plan sprzedaży nieruchomości 705.255,00zł, natomiast w roku 2027 -1.000.000,00zł. W roku 2027 planowana jest sprzedaż gruntów pozyskanych w ramach zamiany z Nadleśnictwem Węgliniec.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Pozostałe dochody majątkowe to dofinansowanie przedsięwzięć z budżetu Unii Europejskiej lub innych źródeł: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 w latach 2026-2028 dofinansowanie z budżetu Unii Europejskiej przedsięwzięcia „Gmina Węgliniec Rowerowym Centrum Borów Dolnośląskich” w kwotach odpowiednio 1.179.910,34zł, 1.179.910,34zł i 1.220.275,00zł;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 w roku 2026 zaplanowany dochód w kwocie 80.715,65zł z budżetu UE na realizację zadania "Stworzenie wirtualnej elektrowni jako element rozwoju Zgorzeleckiego Klastra Energii;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 w latach 2026-2028 dochody z Rządowego Programu bezzwrotnego finansowego wsparcia budownictwa Fundusz Dopłat na zadanie inwestycyjne „Przebudowa budynku po szkole podstawowej w Starym Węglińcu wraz ze zmianą sposobu użytkowania na budynek mieszkalny” w kwotach odpowiednio 147.600,00zł, 2.400.000,00zł i 2.400.000,00zł;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 w roku 2026 w kwocie 2.588.227,00zł z Rządowego Funduszu Polski Ład: Program Inwestycji Strategicznych na realizację zadania inwestycyjnego „Przebudowa oczyszczalni ścieków w Węglińcu”. Zadanie otrzymało promesę finansowania. (zadanie realizowane w latach 2024-2026); </w:t>
      </w:r>
    </w:p>
    <w:p w:rsidR="00932B9E" w:rsidRPr="00932B9E" w:rsidRDefault="00932B9E" w:rsidP="00932B9E">
      <w:pPr>
        <w:keepNext/>
        <w:spacing w:before="280" w:after="280" w:line="360" w:lineRule="auto"/>
        <w:jc w:val="left"/>
        <w:rPr>
          <w:color w:val="000000"/>
          <w:u w:color="000000"/>
        </w:rPr>
      </w:pPr>
      <w:r w:rsidRPr="00932B9E">
        <w:rPr>
          <w:color w:val="000000"/>
          <w:u w:color="000000"/>
        </w:rPr>
        <w:lastRenderedPageBreak/>
        <w:t xml:space="preserve">- w roku 2026 zaplanowano dofinansowanie przedsięwzięcia „Realizacja Programu Ciepłe Mieszkanie” z Narodowego Funduszu Ochrony Środowiska i Gospodarki Wodnej w kwocie 700.000,00 zł (zadanie realizowane od 2023r.);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 w roku 2026 dofinansowanie z budżetu Unii Europejskiej przedsięwzięcia „Modernizacja obiektów infrastruktury kultury na terenie Gminy Węgliniec” w kwocie 2.445.096,43zł;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 w latach 2026-2027 zaplanowano dochód przedsięwzięcia "Przebudowa komunalnych lokali mieszkalnych przy ul. Żagańskiej w Ruszowie”- w kwotach odpowiednio 54.120,00zł i 160.000,00zł; 3 </w:t>
      </w:r>
    </w:p>
    <w:p w:rsidR="00932B9E" w:rsidRPr="00932B9E" w:rsidRDefault="00932B9E" w:rsidP="00932B9E">
      <w:pPr>
        <w:keepNext/>
        <w:spacing w:before="280" w:after="280" w:line="360" w:lineRule="auto"/>
        <w:jc w:val="left"/>
        <w:rPr>
          <w:color w:val="000000"/>
          <w:u w:color="000000"/>
        </w:rPr>
      </w:pP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 w roku 2026 zaplanowano dochód w kwocie 160.000,00zł z Samorządu Województwa Dolnośląskiego na realizację zadania „Budowa chodnika w miejscowości Ruszów ul. Bolesławiecka i ul. Zgorzelecka przy drogach wojewódzkich 350 i 296”;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 w latach 2026- 2027 zaplanowano dochód z budżetu Unii Europejskiej poprzez Zachodni Obszar Funkcjonalny z FEDS przedsięwzięcia „Odnowienie parku miejskiego oraz zagospodarowanie przestrzeni publicznej między budynkami w Węglińcu” w kwotach odpowiednio 172.200,00zł i 4.652.795,00zł;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 w roku 2026 zaplanowano dochód z dotacji z budżetu państwa w kwocie łącznej 1.330.062,00zł na realizację zadań z zakresu Ochrony Ludności i Obrony Cywilnej;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 w roku 2026 zaplanowano dochód z Rządowego Funduszu Rozwoju Dróg w kwocie 1.340.753,00zł na dofinansowanie zadania „Przebudowa ul. Kolejowej w Węglińcu”.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Kwoty dotacji przyjęto na podstawie informacji o możliwości zakwalifikowania przedsięwzięcia do dofinansowania lub też na podstawie już podpisanych umów/promes o dofinansowanie. </w:t>
      </w:r>
    </w:p>
    <w:p w:rsidR="00932B9E" w:rsidRPr="00932B9E" w:rsidRDefault="00932B9E" w:rsidP="00932B9E">
      <w:pPr>
        <w:keepNext/>
        <w:spacing w:before="280" w:after="280" w:line="360" w:lineRule="auto"/>
        <w:jc w:val="left"/>
        <w:rPr>
          <w:color w:val="000000"/>
          <w:u w:color="000000"/>
        </w:rPr>
      </w:pPr>
      <w:r w:rsidRPr="00932B9E">
        <w:rPr>
          <w:b/>
          <w:bCs/>
          <w:color w:val="000000"/>
          <w:u w:color="000000"/>
        </w:rPr>
        <w:t xml:space="preserve">Wydatki. </w:t>
      </w:r>
    </w:p>
    <w:p w:rsidR="00932B9E" w:rsidRPr="00932B9E" w:rsidRDefault="00932B9E" w:rsidP="00932B9E">
      <w:pPr>
        <w:keepNext/>
        <w:spacing w:before="280" w:after="280" w:line="360" w:lineRule="auto"/>
        <w:jc w:val="left"/>
        <w:rPr>
          <w:color w:val="000000"/>
          <w:u w:color="000000"/>
        </w:rPr>
      </w:pPr>
      <w:r w:rsidRPr="00932B9E">
        <w:rPr>
          <w:b/>
          <w:bCs/>
          <w:color w:val="000000"/>
          <w:u w:color="000000"/>
        </w:rPr>
        <w:t xml:space="preserve">1. Wydatki bieżące (bez kosztów obsługi długu oraz bez wynagrodzeń)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Założenia makroekonomiczne, opublikowane w kwietniu 2025 r. przez Ministra Finansów „Wieloletnie założenia makroekonomiczne na lata 2025-2029” (z aktualizacją w dniu 17.07.2025r.) oraz „Założeniach Projektu Budżetu Państwa na rok 2026” opublikowanych przez Radę Ministrów we wrześniu 2025r. podały projekcję inflacji na najbliższe lata. Zgodnie z tymi założeniami w zakresie bieżących wydatków budżetowych przyjęto wskaźnik wzrostu wydatków rzeczowych według szacowanej dynamiki CPI – 3,0% w roku 2026, 2,6% w roku 2027 a następnie 2,5% od 2028 do roku 2042, przy czym wskaźnik ten skorygowano o wydatki o charakterze jednorocznym, w tym w zakresie wynagrodzeń osobowych (głównie odprawy emerytalne i nagrody </w:t>
      </w:r>
      <w:r w:rsidRPr="00932B9E">
        <w:rPr>
          <w:color w:val="000000"/>
          <w:u w:color="000000"/>
        </w:rPr>
        <w:lastRenderedPageBreak/>
        <w:t xml:space="preserve">jubileuszowe). Przy planowaniu wydatków płacowych przyjęto założenie podwyższenia o 3% wynagrodzeń pracowników w jednostkach organizacyjnych gminy w całym roku 2026, a następnie o kolejne 3% począwszy od miesiąca lipca. Następnie w latach 2027-2042 kolejne wzrosty o 3%. </w:t>
      </w:r>
    </w:p>
    <w:p w:rsidR="00932B9E" w:rsidRPr="00932B9E" w:rsidRDefault="00932B9E" w:rsidP="00932B9E">
      <w:pPr>
        <w:keepNext/>
        <w:spacing w:before="280" w:after="280" w:line="360" w:lineRule="auto"/>
        <w:jc w:val="left"/>
        <w:rPr>
          <w:color w:val="000000"/>
          <w:u w:color="000000"/>
        </w:rPr>
      </w:pPr>
      <w:r w:rsidRPr="00932B9E">
        <w:rPr>
          <w:b/>
          <w:bCs/>
          <w:color w:val="000000"/>
          <w:u w:color="000000"/>
        </w:rPr>
        <w:t xml:space="preserve">2. Wydatki bieżące na wynagrodzenia oraz składki od nich naliczane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W pozycji tej ujęto wszystkie tytuły wynagrodzeń, tj. wynagrodzenia osobowe, dodatkowe wynagrodzenie roczne (DWR), wynagrodzenia bezosobowe, wynagrodzenia agencyjno-prowizyjne. Przy kalkulacji wynagrodzeń w latach 2026-2042 nie zakładano zmian w zakresie wielkości zatrudnienia. Uwzględniono jedynie urealnienie (zmniejszenie) stanu zatrudnienia pracowników administracji w MGOPS o ½ etatu. Przy planowaniu wydatków płacowych przyjęto założenie podwyższenia o 3% wynagrodzeń pracowników w jednostkach organizacyjnych gminy w całym roku 2026, a następnie o kolejne 3% począwszy od miesiąca lipca. Następnie w kolejnych latach 2027-2042 kolejne wzrosty o 3%. 4 </w:t>
      </w:r>
    </w:p>
    <w:p w:rsidR="00932B9E" w:rsidRPr="00932B9E" w:rsidRDefault="00932B9E" w:rsidP="00932B9E">
      <w:pPr>
        <w:keepNext/>
        <w:spacing w:before="280" w:after="280" w:line="360" w:lineRule="auto"/>
        <w:jc w:val="left"/>
        <w:rPr>
          <w:color w:val="000000"/>
          <w:u w:color="000000"/>
        </w:rPr>
      </w:pP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Wielkości tak obliczone skorygowano następnie o świadczenia jednorazowe (głównie odprawy emerytalne i nagrody jubileuszowe ). </w:t>
      </w:r>
    </w:p>
    <w:p w:rsidR="00932B9E" w:rsidRDefault="00932B9E" w:rsidP="00932B9E">
      <w:pPr>
        <w:keepNext/>
        <w:spacing w:before="280" w:after="280" w:line="360" w:lineRule="auto"/>
        <w:jc w:val="left"/>
        <w:rPr>
          <w:color w:val="000000"/>
          <w:u w:color="000000"/>
        </w:rPr>
      </w:pPr>
      <w:r w:rsidRPr="00932B9E">
        <w:rPr>
          <w:color w:val="000000"/>
          <w:u w:color="000000"/>
        </w:rPr>
        <w:t xml:space="preserve">Wskazać należy, że przeprowadzenie zakładanej waloryzacji wynagrodzeń o 3% w II półroczu 2026r. uzależnione będzie od realizacji dochodów własnych budżetu Gminy w I półroczu 2026r., stąd przyjmuje się założenie uruchomienia procedury podwyżek w miesiącu sierpniu 2026r. ze skutkiem od 01.07.2026r. Kwoty te ujęte są w zaplanowanym projekcie budżetu, natomiast w przypadku zagrożenia realizacji dochodów należy je wyłączyć i skorygować plan.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Wielkości przewidywanych wydatków płacowych obejmują skutki należnych nagród jubileuszowych, odpraw i stałych składników wynagrodzeń według stanu prawnego obowiązującego w chwili obecnej oraz na podstawie informacji przekazanych przez jednostki organizacyjne. Przyjmuje się założenie, że wielkości zaplanowane w Wieloletniej Prognozie Finansowej w zakresie wynagrodzeń osobowych obejmują skutek wypłat odpraw emerytalnych i nagród jubileuszowych w wysokościach określonych w tabeli poniżej dla lat 2026-2042: </w:t>
      </w:r>
      <w:r w:rsidRPr="00932B9E">
        <w:rPr>
          <w:b/>
          <w:bCs/>
          <w:color w:val="000000"/>
          <w:u w:color="000000"/>
        </w:rPr>
        <w:t xml:space="preserve">2026 </w:t>
      </w:r>
    </w:p>
    <w:p w:rsidR="00932B9E" w:rsidRPr="00932B9E" w:rsidRDefault="00932B9E" w:rsidP="00932B9E">
      <w:pPr>
        <w:keepNext/>
        <w:spacing w:before="280" w:after="280" w:line="360" w:lineRule="auto"/>
        <w:jc w:val="left"/>
        <w:rPr>
          <w:color w:val="000000"/>
          <w:u w:color="000000"/>
        </w:rPr>
      </w:pPr>
    </w:p>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851"/>
        <w:gridCol w:w="95"/>
        <w:gridCol w:w="118"/>
        <w:gridCol w:w="638"/>
        <w:gridCol w:w="190"/>
        <w:gridCol w:w="236"/>
        <w:gridCol w:w="425"/>
        <w:gridCol w:w="285"/>
        <w:gridCol w:w="354"/>
        <w:gridCol w:w="212"/>
        <w:gridCol w:w="380"/>
        <w:gridCol w:w="472"/>
        <w:gridCol w:w="474"/>
        <w:gridCol w:w="377"/>
        <w:gridCol w:w="213"/>
        <w:gridCol w:w="356"/>
        <w:gridCol w:w="282"/>
        <w:gridCol w:w="426"/>
        <w:gridCol w:w="238"/>
        <w:gridCol w:w="187"/>
        <w:gridCol w:w="639"/>
        <w:gridCol w:w="120"/>
        <w:gridCol w:w="92"/>
        <w:gridCol w:w="854"/>
      </w:tblGrid>
      <w:tr w:rsidR="00932B9E" w:rsidRPr="00932B9E">
        <w:tblPrEx>
          <w:tblCellMar>
            <w:top w:w="0" w:type="dxa"/>
            <w:bottom w:w="0" w:type="dxa"/>
          </w:tblCellMar>
        </w:tblPrEx>
        <w:trPr>
          <w:trHeight w:val="107"/>
        </w:trPr>
        <w:tc>
          <w:tcPr>
            <w:tcW w:w="946" w:type="dxa"/>
            <w:gridSpan w:val="2"/>
            <w:tcBorders>
              <w:top w:val="none" w:sz="6" w:space="0" w:color="auto"/>
              <w:bottom w:val="none" w:sz="6" w:space="0" w:color="auto"/>
              <w:right w:val="none" w:sz="6" w:space="0" w:color="auto"/>
            </w:tcBorders>
          </w:tcPr>
          <w:p w:rsidR="00932B9E" w:rsidRPr="00932B9E" w:rsidRDefault="00932B9E" w:rsidP="00932B9E">
            <w:pPr>
              <w:keepNext/>
              <w:spacing w:before="280" w:after="280" w:line="360" w:lineRule="auto"/>
              <w:jc w:val="left"/>
              <w:rPr>
                <w:color w:val="000000"/>
                <w:u w:color="000000"/>
              </w:rPr>
            </w:pPr>
          </w:p>
        </w:tc>
        <w:tc>
          <w:tcPr>
            <w:tcW w:w="946" w:type="dxa"/>
            <w:gridSpan w:val="3"/>
            <w:tcBorders>
              <w:top w:val="none" w:sz="6" w:space="0" w:color="auto"/>
              <w:left w:val="none" w:sz="6" w:space="0" w:color="auto"/>
              <w:bottom w:val="none" w:sz="6" w:space="0" w:color="auto"/>
              <w:right w:val="none" w:sz="6" w:space="0" w:color="auto"/>
            </w:tcBorders>
          </w:tcPr>
          <w:p w:rsidR="00932B9E" w:rsidRPr="00932B9E" w:rsidRDefault="00932B9E" w:rsidP="00932B9E">
            <w:pPr>
              <w:keepNext/>
              <w:spacing w:before="280" w:after="280" w:line="360" w:lineRule="auto"/>
              <w:jc w:val="left"/>
              <w:rPr>
                <w:color w:val="000000"/>
                <w:u w:color="000000"/>
              </w:rPr>
            </w:pPr>
            <w:r w:rsidRPr="00932B9E">
              <w:rPr>
                <w:b/>
                <w:bCs/>
                <w:color w:val="000000"/>
                <w:u w:color="000000"/>
              </w:rPr>
              <w:t xml:space="preserve">2027 </w:t>
            </w:r>
          </w:p>
        </w:tc>
        <w:tc>
          <w:tcPr>
            <w:tcW w:w="946" w:type="dxa"/>
            <w:gridSpan w:val="3"/>
            <w:tcBorders>
              <w:top w:val="none" w:sz="6" w:space="0" w:color="auto"/>
              <w:left w:val="none" w:sz="6" w:space="0" w:color="auto"/>
              <w:bottom w:val="none" w:sz="6" w:space="0" w:color="auto"/>
              <w:right w:val="none" w:sz="6" w:space="0" w:color="auto"/>
            </w:tcBorders>
          </w:tcPr>
          <w:p w:rsidR="00932B9E" w:rsidRPr="00932B9E" w:rsidRDefault="00932B9E" w:rsidP="00932B9E">
            <w:pPr>
              <w:keepNext/>
              <w:spacing w:before="280" w:after="280" w:line="360" w:lineRule="auto"/>
              <w:jc w:val="left"/>
              <w:rPr>
                <w:color w:val="000000"/>
                <w:u w:color="000000"/>
              </w:rPr>
            </w:pPr>
            <w:r w:rsidRPr="00932B9E">
              <w:rPr>
                <w:b/>
                <w:bCs/>
                <w:color w:val="000000"/>
                <w:u w:color="000000"/>
              </w:rPr>
              <w:t xml:space="preserve">2028 </w:t>
            </w:r>
          </w:p>
        </w:tc>
        <w:tc>
          <w:tcPr>
            <w:tcW w:w="946" w:type="dxa"/>
            <w:gridSpan w:val="3"/>
            <w:tcBorders>
              <w:top w:val="none" w:sz="6" w:space="0" w:color="auto"/>
              <w:left w:val="none" w:sz="6" w:space="0" w:color="auto"/>
              <w:bottom w:val="none" w:sz="6" w:space="0" w:color="auto"/>
              <w:right w:val="none" w:sz="6" w:space="0" w:color="auto"/>
            </w:tcBorders>
          </w:tcPr>
          <w:p w:rsidR="00932B9E" w:rsidRPr="00932B9E" w:rsidRDefault="00932B9E" w:rsidP="00932B9E">
            <w:pPr>
              <w:keepNext/>
              <w:spacing w:before="280" w:after="280" w:line="360" w:lineRule="auto"/>
              <w:jc w:val="left"/>
              <w:rPr>
                <w:color w:val="000000"/>
                <w:u w:color="000000"/>
              </w:rPr>
            </w:pPr>
            <w:r w:rsidRPr="00932B9E">
              <w:rPr>
                <w:b/>
                <w:bCs/>
                <w:color w:val="000000"/>
                <w:u w:color="000000"/>
              </w:rPr>
              <w:t xml:space="preserve">2029 </w:t>
            </w:r>
          </w:p>
        </w:tc>
        <w:tc>
          <w:tcPr>
            <w:tcW w:w="946" w:type="dxa"/>
            <w:gridSpan w:val="2"/>
            <w:tcBorders>
              <w:top w:val="none" w:sz="6" w:space="0" w:color="auto"/>
              <w:left w:val="none" w:sz="6" w:space="0" w:color="auto"/>
              <w:bottom w:val="none" w:sz="6" w:space="0" w:color="auto"/>
              <w:right w:val="none" w:sz="6" w:space="0" w:color="auto"/>
            </w:tcBorders>
          </w:tcPr>
          <w:p w:rsidR="00932B9E" w:rsidRPr="00932B9E" w:rsidRDefault="00932B9E" w:rsidP="00932B9E">
            <w:pPr>
              <w:keepNext/>
              <w:spacing w:before="280" w:after="280" w:line="360" w:lineRule="auto"/>
              <w:jc w:val="left"/>
              <w:rPr>
                <w:color w:val="000000"/>
                <w:u w:color="000000"/>
              </w:rPr>
            </w:pPr>
            <w:r w:rsidRPr="00932B9E">
              <w:rPr>
                <w:b/>
                <w:bCs/>
                <w:color w:val="000000"/>
                <w:u w:color="000000"/>
              </w:rPr>
              <w:t xml:space="preserve">2030 </w:t>
            </w:r>
          </w:p>
        </w:tc>
        <w:tc>
          <w:tcPr>
            <w:tcW w:w="946" w:type="dxa"/>
            <w:gridSpan w:val="3"/>
            <w:tcBorders>
              <w:top w:val="none" w:sz="6" w:space="0" w:color="auto"/>
              <w:left w:val="none" w:sz="6" w:space="0" w:color="auto"/>
              <w:bottom w:val="none" w:sz="6" w:space="0" w:color="auto"/>
              <w:right w:val="none" w:sz="6" w:space="0" w:color="auto"/>
            </w:tcBorders>
          </w:tcPr>
          <w:p w:rsidR="00932B9E" w:rsidRPr="00932B9E" w:rsidRDefault="00932B9E" w:rsidP="00932B9E">
            <w:pPr>
              <w:keepNext/>
              <w:spacing w:before="280" w:after="280" w:line="360" w:lineRule="auto"/>
              <w:jc w:val="left"/>
              <w:rPr>
                <w:color w:val="000000"/>
                <w:u w:color="000000"/>
              </w:rPr>
            </w:pPr>
            <w:r w:rsidRPr="00932B9E">
              <w:rPr>
                <w:b/>
                <w:bCs/>
                <w:color w:val="000000"/>
                <w:u w:color="000000"/>
              </w:rPr>
              <w:t xml:space="preserve">2031 </w:t>
            </w:r>
          </w:p>
        </w:tc>
        <w:tc>
          <w:tcPr>
            <w:tcW w:w="946" w:type="dxa"/>
            <w:gridSpan w:val="3"/>
            <w:tcBorders>
              <w:top w:val="none" w:sz="6" w:space="0" w:color="auto"/>
              <w:left w:val="none" w:sz="6" w:space="0" w:color="auto"/>
              <w:bottom w:val="none" w:sz="6" w:space="0" w:color="auto"/>
              <w:right w:val="none" w:sz="6" w:space="0" w:color="auto"/>
            </w:tcBorders>
          </w:tcPr>
          <w:p w:rsidR="00932B9E" w:rsidRPr="00932B9E" w:rsidRDefault="00932B9E" w:rsidP="00932B9E">
            <w:pPr>
              <w:keepNext/>
              <w:spacing w:before="280" w:after="280" w:line="360" w:lineRule="auto"/>
              <w:jc w:val="left"/>
              <w:rPr>
                <w:color w:val="000000"/>
                <w:u w:color="000000"/>
              </w:rPr>
            </w:pPr>
            <w:r w:rsidRPr="00932B9E">
              <w:rPr>
                <w:b/>
                <w:bCs/>
                <w:color w:val="000000"/>
                <w:u w:color="000000"/>
              </w:rPr>
              <w:t xml:space="preserve">2032 </w:t>
            </w:r>
          </w:p>
        </w:tc>
        <w:tc>
          <w:tcPr>
            <w:tcW w:w="946" w:type="dxa"/>
            <w:gridSpan w:val="3"/>
            <w:tcBorders>
              <w:top w:val="none" w:sz="6" w:space="0" w:color="auto"/>
              <w:left w:val="none" w:sz="6" w:space="0" w:color="auto"/>
              <w:bottom w:val="none" w:sz="6" w:space="0" w:color="auto"/>
              <w:right w:val="none" w:sz="6" w:space="0" w:color="auto"/>
            </w:tcBorders>
          </w:tcPr>
          <w:p w:rsidR="00932B9E" w:rsidRPr="00932B9E" w:rsidRDefault="00932B9E" w:rsidP="00932B9E">
            <w:pPr>
              <w:keepNext/>
              <w:spacing w:before="280" w:after="280" w:line="360" w:lineRule="auto"/>
              <w:jc w:val="left"/>
              <w:rPr>
                <w:color w:val="000000"/>
                <w:u w:color="000000"/>
              </w:rPr>
            </w:pPr>
            <w:r w:rsidRPr="00932B9E">
              <w:rPr>
                <w:b/>
                <w:bCs/>
                <w:color w:val="000000"/>
                <w:u w:color="000000"/>
              </w:rPr>
              <w:t xml:space="preserve">2033 </w:t>
            </w:r>
          </w:p>
        </w:tc>
        <w:tc>
          <w:tcPr>
            <w:tcW w:w="946" w:type="dxa"/>
            <w:gridSpan w:val="2"/>
            <w:tcBorders>
              <w:top w:val="none" w:sz="6" w:space="0" w:color="auto"/>
              <w:left w:val="none" w:sz="6" w:space="0" w:color="auto"/>
              <w:bottom w:val="none" w:sz="6" w:space="0" w:color="auto"/>
            </w:tcBorders>
          </w:tcPr>
          <w:p w:rsidR="00932B9E" w:rsidRPr="00932B9E" w:rsidRDefault="00932B9E" w:rsidP="00932B9E">
            <w:pPr>
              <w:keepNext/>
              <w:spacing w:before="280" w:after="280" w:line="360" w:lineRule="auto"/>
              <w:jc w:val="left"/>
              <w:rPr>
                <w:color w:val="000000"/>
                <w:u w:color="000000"/>
              </w:rPr>
            </w:pPr>
            <w:r w:rsidRPr="00932B9E">
              <w:rPr>
                <w:b/>
                <w:bCs/>
                <w:color w:val="000000"/>
                <w:u w:color="000000"/>
              </w:rPr>
              <w:t xml:space="preserve">2034 </w:t>
            </w:r>
          </w:p>
        </w:tc>
      </w:tr>
      <w:tr w:rsidR="00932B9E" w:rsidRPr="00932B9E" w:rsidTr="00932B9E">
        <w:tblPrEx>
          <w:tblCellMar>
            <w:top w:w="0" w:type="dxa"/>
            <w:bottom w:w="0" w:type="dxa"/>
          </w:tblCellMar>
        </w:tblPrEx>
        <w:trPr>
          <w:trHeight w:val="337"/>
        </w:trPr>
        <w:tc>
          <w:tcPr>
            <w:tcW w:w="851" w:type="dxa"/>
            <w:tcBorders>
              <w:top w:val="none" w:sz="6" w:space="0" w:color="auto"/>
              <w:bottom w:val="none" w:sz="6" w:space="0" w:color="auto"/>
              <w:right w:val="none" w:sz="6" w:space="0" w:color="auto"/>
            </w:tcBorders>
          </w:tcPr>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kwota </w:t>
            </w:r>
          </w:p>
          <w:p w:rsidR="00932B9E" w:rsidRPr="00932B9E" w:rsidRDefault="00932B9E" w:rsidP="00932B9E">
            <w:pPr>
              <w:keepNext/>
              <w:spacing w:before="280" w:after="280" w:line="360" w:lineRule="auto"/>
              <w:jc w:val="left"/>
              <w:rPr>
                <w:color w:val="000000"/>
                <w:u w:color="000000"/>
              </w:rPr>
            </w:pPr>
            <w:r w:rsidRPr="00932B9E">
              <w:rPr>
                <w:color w:val="000000"/>
                <w:u w:color="000000"/>
              </w:rPr>
              <w:lastRenderedPageBreak/>
              <w:t xml:space="preserve">w zł </w:t>
            </w:r>
          </w:p>
        </w:tc>
        <w:tc>
          <w:tcPr>
            <w:tcW w:w="851" w:type="dxa"/>
            <w:gridSpan w:val="3"/>
            <w:tcBorders>
              <w:top w:val="none" w:sz="6" w:space="0" w:color="auto"/>
              <w:left w:val="none" w:sz="6" w:space="0" w:color="auto"/>
              <w:bottom w:val="none" w:sz="6" w:space="0" w:color="auto"/>
              <w:right w:val="none" w:sz="6" w:space="0" w:color="auto"/>
            </w:tcBorders>
          </w:tcPr>
          <w:p w:rsidR="00932B9E" w:rsidRPr="00932B9E" w:rsidRDefault="00932B9E" w:rsidP="00932B9E">
            <w:pPr>
              <w:keepNext/>
              <w:spacing w:before="280" w:after="280" w:line="360" w:lineRule="auto"/>
              <w:jc w:val="left"/>
              <w:rPr>
                <w:color w:val="000000"/>
                <w:u w:color="000000"/>
              </w:rPr>
            </w:pPr>
            <w:r w:rsidRPr="00932B9E">
              <w:rPr>
                <w:color w:val="000000"/>
                <w:u w:color="000000"/>
              </w:rPr>
              <w:lastRenderedPageBreak/>
              <w:t>71286</w:t>
            </w:r>
            <w:r w:rsidRPr="00932B9E">
              <w:rPr>
                <w:color w:val="000000"/>
                <w:u w:color="000000"/>
              </w:rPr>
              <w:lastRenderedPageBreak/>
              <w:t xml:space="preserve">781 </w:t>
            </w:r>
          </w:p>
        </w:tc>
        <w:tc>
          <w:tcPr>
            <w:tcW w:w="851" w:type="dxa"/>
            <w:gridSpan w:val="3"/>
            <w:tcBorders>
              <w:top w:val="none" w:sz="6" w:space="0" w:color="auto"/>
              <w:left w:val="none" w:sz="6" w:space="0" w:color="auto"/>
              <w:bottom w:val="none" w:sz="6" w:space="0" w:color="auto"/>
              <w:right w:val="none" w:sz="6" w:space="0" w:color="auto"/>
            </w:tcBorders>
          </w:tcPr>
          <w:p w:rsidR="00932B9E" w:rsidRPr="00932B9E" w:rsidRDefault="00932B9E" w:rsidP="00932B9E">
            <w:pPr>
              <w:keepNext/>
              <w:spacing w:before="280" w:after="280" w:line="360" w:lineRule="auto"/>
              <w:jc w:val="left"/>
              <w:rPr>
                <w:color w:val="000000"/>
                <w:u w:color="000000"/>
              </w:rPr>
            </w:pPr>
            <w:r w:rsidRPr="00932B9E">
              <w:rPr>
                <w:color w:val="000000"/>
                <w:u w:color="000000"/>
              </w:rPr>
              <w:lastRenderedPageBreak/>
              <w:t>60430</w:t>
            </w:r>
            <w:r w:rsidRPr="00932B9E">
              <w:rPr>
                <w:color w:val="000000"/>
                <w:u w:color="000000"/>
              </w:rPr>
              <w:lastRenderedPageBreak/>
              <w:t xml:space="preserve">5 </w:t>
            </w:r>
          </w:p>
        </w:tc>
        <w:tc>
          <w:tcPr>
            <w:tcW w:w="851" w:type="dxa"/>
            <w:gridSpan w:val="3"/>
            <w:tcBorders>
              <w:top w:val="none" w:sz="6" w:space="0" w:color="auto"/>
              <w:left w:val="none" w:sz="6" w:space="0" w:color="auto"/>
              <w:bottom w:val="none" w:sz="6" w:space="0" w:color="auto"/>
              <w:right w:val="none" w:sz="6" w:space="0" w:color="auto"/>
            </w:tcBorders>
          </w:tcPr>
          <w:p w:rsidR="00932B9E" w:rsidRPr="00932B9E" w:rsidRDefault="00932B9E" w:rsidP="00932B9E">
            <w:pPr>
              <w:keepNext/>
              <w:spacing w:before="280" w:after="280" w:line="360" w:lineRule="auto"/>
              <w:jc w:val="left"/>
              <w:rPr>
                <w:color w:val="000000"/>
                <w:u w:color="000000"/>
              </w:rPr>
            </w:pPr>
            <w:r w:rsidRPr="00932B9E">
              <w:rPr>
                <w:color w:val="000000"/>
                <w:u w:color="000000"/>
              </w:rPr>
              <w:lastRenderedPageBreak/>
              <w:t>44536</w:t>
            </w:r>
            <w:r w:rsidRPr="00932B9E">
              <w:rPr>
                <w:color w:val="000000"/>
                <w:u w:color="000000"/>
              </w:rPr>
              <w:lastRenderedPageBreak/>
              <w:t xml:space="preserve">5 </w:t>
            </w:r>
          </w:p>
        </w:tc>
        <w:tc>
          <w:tcPr>
            <w:tcW w:w="852" w:type="dxa"/>
            <w:gridSpan w:val="2"/>
            <w:tcBorders>
              <w:top w:val="none" w:sz="6" w:space="0" w:color="auto"/>
              <w:left w:val="none" w:sz="6" w:space="0" w:color="auto"/>
              <w:bottom w:val="none" w:sz="6" w:space="0" w:color="auto"/>
              <w:right w:val="none" w:sz="6" w:space="0" w:color="auto"/>
            </w:tcBorders>
          </w:tcPr>
          <w:p w:rsidR="00932B9E" w:rsidRPr="00932B9E" w:rsidRDefault="00932B9E" w:rsidP="00932B9E">
            <w:pPr>
              <w:keepNext/>
              <w:spacing w:before="280" w:after="280" w:line="360" w:lineRule="auto"/>
              <w:jc w:val="left"/>
              <w:rPr>
                <w:color w:val="000000"/>
                <w:u w:color="000000"/>
              </w:rPr>
            </w:pPr>
            <w:r w:rsidRPr="00932B9E">
              <w:rPr>
                <w:color w:val="000000"/>
                <w:u w:color="000000"/>
              </w:rPr>
              <w:lastRenderedPageBreak/>
              <w:t>70627</w:t>
            </w:r>
            <w:r w:rsidRPr="00932B9E">
              <w:rPr>
                <w:color w:val="000000"/>
                <w:u w:color="000000"/>
              </w:rPr>
              <w:lastRenderedPageBreak/>
              <w:t xml:space="preserve">7 </w:t>
            </w:r>
          </w:p>
        </w:tc>
        <w:tc>
          <w:tcPr>
            <w:tcW w:w="851" w:type="dxa"/>
            <w:gridSpan w:val="2"/>
            <w:tcBorders>
              <w:top w:val="none" w:sz="6" w:space="0" w:color="auto"/>
              <w:left w:val="none" w:sz="6" w:space="0" w:color="auto"/>
              <w:bottom w:val="none" w:sz="6" w:space="0" w:color="auto"/>
              <w:right w:val="none" w:sz="6" w:space="0" w:color="auto"/>
            </w:tcBorders>
          </w:tcPr>
          <w:p w:rsidR="00932B9E" w:rsidRPr="00932B9E" w:rsidRDefault="00932B9E" w:rsidP="00932B9E">
            <w:pPr>
              <w:keepNext/>
              <w:spacing w:before="280" w:after="280" w:line="360" w:lineRule="auto"/>
              <w:jc w:val="left"/>
              <w:rPr>
                <w:color w:val="000000"/>
                <w:u w:color="000000"/>
              </w:rPr>
            </w:pPr>
            <w:r w:rsidRPr="00932B9E">
              <w:rPr>
                <w:color w:val="000000"/>
                <w:u w:color="000000"/>
              </w:rPr>
              <w:lastRenderedPageBreak/>
              <w:t>70177</w:t>
            </w:r>
            <w:r w:rsidRPr="00932B9E">
              <w:rPr>
                <w:color w:val="000000"/>
                <w:u w:color="000000"/>
              </w:rPr>
              <w:lastRenderedPageBreak/>
              <w:t xml:space="preserve">6 </w:t>
            </w:r>
          </w:p>
        </w:tc>
        <w:tc>
          <w:tcPr>
            <w:tcW w:w="851" w:type="dxa"/>
            <w:gridSpan w:val="3"/>
            <w:tcBorders>
              <w:top w:val="none" w:sz="6" w:space="0" w:color="auto"/>
              <w:left w:val="none" w:sz="6" w:space="0" w:color="auto"/>
              <w:bottom w:val="none" w:sz="6" w:space="0" w:color="auto"/>
              <w:right w:val="none" w:sz="6" w:space="0" w:color="auto"/>
            </w:tcBorders>
          </w:tcPr>
          <w:p w:rsidR="00932B9E" w:rsidRPr="00932B9E" w:rsidRDefault="00932B9E" w:rsidP="00932B9E">
            <w:pPr>
              <w:keepNext/>
              <w:spacing w:before="280" w:after="280" w:line="360" w:lineRule="auto"/>
              <w:jc w:val="left"/>
              <w:rPr>
                <w:color w:val="000000"/>
                <w:u w:color="000000"/>
              </w:rPr>
            </w:pPr>
            <w:r w:rsidRPr="00932B9E">
              <w:rPr>
                <w:color w:val="000000"/>
                <w:u w:color="000000"/>
              </w:rPr>
              <w:lastRenderedPageBreak/>
              <w:t>49642</w:t>
            </w:r>
            <w:r w:rsidRPr="00932B9E">
              <w:rPr>
                <w:color w:val="000000"/>
                <w:u w:color="000000"/>
              </w:rPr>
              <w:lastRenderedPageBreak/>
              <w:t xml:space="preserve">4 </w:t>
            </w:r>
          </w:p>
        </w:tc>
        <w:tc>
          <w:tcPr>
            <w:tcW w:w="851" w:type="dxa"/>
            <w:gridSpan w:val="3"/>
            <w:tcBorders>
              <w:top w:val="none" w:sz="6" w:space="0" w:color="auto"/>
              <w:left w:val="none" w:sz="6" w:space="0" w:color="auto"/>
              <w:bottom w:val="none" w:sz="6" w:space="0" w:color="auto"/>
              <w:right w:val="none" w:sz="6" w:space="0" w:color="auto"/>
            </w:tcBorders>
          </w:tcPr>
          <w:p w:rsidR="00932B9E" w:rsidRPr="00932B9E" w:rsidRDefault="00932B9E" w:rsidP="00932B9E">
            <w:pPr>
              <w:keepNext/>
              <w:spacing w:before="280" w:after="280" w:line="360" w:lineRule="auto"/>
              <w:jc w:val="left"/>
              <w:rPr>
                <w:color w:val="000000"/>
                <w:u w:color="000000"/>
              </w:rPr>
            </w:pPr>
            <w:r w:rsidRPr="00932B9E">
              <w:rPr>
                <w:color w:val="000000"/>
                <w:u w:color="000000"/>
              </w:rPr>
              <w:lastRenderedPageBreak/>
              <w:t>29398</w:t>
            </w:r>
            <w:r w:rsidRPr="00932B9E">
              <w:rPr>
                <w:color w:val="000000"/>
                <w:u w:color="000000"/>
              </w:rPr>
              <w:lastRenderedPageBreak/>
              <w:t xml:space="preserve">4 </w:t>
            </w:r>
          </w:p>
        </w:tc>
        <w:tc>
          <w:tcPr>
            <w:tcW w:w="851" w:type="dxa"/>
            <w:gridSpan w:val="3"/>
            <w:tcBorders>
              <w:top w:val="none" w:sz="6" w:space="0" w:color="auto"/>
              <w:left w:val="none" w:sz="6" w:space="0" w:color="auto"/>
              <w:bottom w:val="none" w:sz="6" w:space="0" w:color="auto"/>
              <w:right w:val="none" w:sz="6" w:space="0" w:color="auto"/>
            </w:tcBorders>
          </w:tcPr>
          <w:p w:rsidR="00932B9E" w:rsidRPr="00932B9E" w:rsidRDefault="00932B9E" w:rsidP="00932B9E">
            <w:pPr>
              <w:keepNext/>
              <w:spacing w:before="280" w:after="280" w:line="360" w:lineRule="auto"/>
              <w:jc w:val="left"/>
              <w:rPr>
                <w:color w:val="000000"/>
                <w:u w:color="000000"/>
              </w:rPr>
            </w:pPr>
            <w:r w:rsidRPr="00932B9E">
              <w:rPr>
                <w:color w:val="000000"/>
                <w:u w:color="000000"/>
              </w:rPr>
              <w:lastRenderedPageBreak/>
              <w:t>46656</w:t>
            </w:r>
            <w:r w:rsidRPr="00932B9E">
              <w:rPr>
                <w:color w:val="000000"/>
                <w:u w:color="000000"/>
              </w:rPr>
              <w:lastRenderedPageBreak/>
              <w:t xml:space="preserve">4 </w:t>
            </w:r>
          </w:p>
        </w:tc>
        <w:tc>
          <w:tcPr>
            <w:tcW w:w="854" w:type="dxa"/>
            <w:tcBorders>
              <w:top w:val="none" w:sz="6" w:space="0" w:color="auto"/>
              <w:left w:val="none" w:sz="6" w:space="0" w:color="auto"/>
              <w:bottom w:val="none" w:sz="6" w:space="0" w:color="auto"/>
            </w:tcBorders>
          </w:tcPr>
          <w:p w:rsidR="00932B9E" w:rsidRPr="00932B9E" w:rsidRDefault="00932B9E" w:rsidP="00932B9E">
            <w:pPr>
              <w:keepNext/>
              <w:spacing w:before="280" w:after="280" w:line="360" w:lineRule="auto"/>
              <w:jc w:val="left"/>
              <w:rPr>
                <w:color w:val="000000"/>
                <w:u w:color="000000"/>
              </w:rPr>
            </w:pPr>
            <w:r w:rsidRPr="00932B9E">
              <w:rPr>
                <w:color w:val="000000"/>
                <w:u w:color="000000"/>
              </w:rPr>
              <w:lastRenderedPageBreak/>
              <w:t>40832</w:t>
            </w:r>
            <w:r w:rsidRPr="00932B9E">
              <w:rPr>
                <w:color w:val="000000"/>
                <w:u w:color="000000"/>
              </w:rPr>
              <w:lastRenderedPageBreak/>
              <w:t xml:space="preserve">8 </w:t>
            </w:r>
          </w:p>
        </w:tc>
      </w:tr>
      <w:tr w:rsidR="00932B9E" w:rsidRPr="00932B9E" w:rsidTr="00932B9E">
        <w:tblPrEx>
          <w:tblCellMar>
            <w:top w:w="0" w:type="dxa"/>
            <w:bottom w:w="0" w:type="dxa"/>
          </w:tblCellMar>
        </w:tblPrEx>
        <w:trPr>
          <w:trHeight w:val="107"/>
        </w:trPr>
        <w:tc>
          <w:tcPr>
            <w:tcW w:w="1064" w:type="dxa"/>
            <w:gridSpan w:val="3"/>
            <w:tcBorders>
              <w:top w:val="none" w:sz="6" w:space="0" w:color="auto"/>
              <w:bottom w:val="none" w:sz="6" w:space="0" w:color="auto"/>
              <w:right w:val="none" w:sz="6" w:space="0" w:color="auto"/>
            </w:tcBorders>
          </w:tcPr>
          <w:p w:rsidR="00932B9E" w:rsidRPr="00932B9E" w:rsidRDefault="00932B9E" w:rsidP="00932B9E">
            <w:pPr>
              <w:keepNext/>
              <w:spacing w:before="280" w:after="280" w:line="360" w:lineRule="auto"/>
              <w:jc w:val="left"/>
              <w:rPr>
                <w:color w:val="000000"/>
                <w:u w:color="000000"/>
              </w:rPr>
            </w:pPr>
            <w:r w:rsidRPr="00932B9E">
              <w:rPr>
                <w:b/>
                <w:bCs/>
                <w:color w:val="000000"/>
                <w:u w:color="000000"/>
              </w:rPr>
              <w:lastRenderedPageBreak/>
              <w:t xml:space="preserve">2035 </w:t>
            </w:r>
          </w:p>
        </w:tc>
        <w:tc>
          <w:tcPr>
            <w:tcW w:w="1064" w:type="dxa"/>
            <w:gridSpan w:val="3"/>
            <w:tcBorders>
              <w:top w:val="none" w:sz="6" w:space="0" w:color="auto"/>
              <w:left w:val="none" w:sz="6" w:space="0" w:color="auto"/>
              <w:bottom w:val="none" w:sz="6" w:space="0" w:color="auto"/>
              <w:right w:val="none" w:sz="6" w:space="0" w:color="auto"/>
            </w:tcBorders>
          </w:tcPr>
          <w:p w:rsidR="00932B9E" w:rsidRPr="00932B9E" w:rsidRDefault="00932B9E" w:rsidP="00932B9E">
            <w:pPr>
              <w:keepNext/>
              <w:spacing w:before="280" w:after="280" w:line="360" w:lineRule="auto"/>
              <w:jc w:val="left"/>
              <w:rPr>
                <w:color w:val="000000"/>
                <w:u w:color="000000"/>
              </w:rPr>
            </w:pPr>
            <w:r w:rsidRPr="00932B9E">
              <w:rPr>
                <w:b/>
                <w:bCs/>
                <w:color w:val="000000"/>
                <w:u w:color="000000"/>
              </w:rPr>
              <w:t xml:space="preserve">2036 </w:t>
            </w:r>
          </w:p>
        </w:tc>
        <w:tc>
          <w:tcPr>
            <w:tcW w:w="1064" w:type="dxa"/>
            <w:gridSpan w:val="3"/>
            <w:tcBorders>
              <w:top w:val="none" w:sz="6" w:space="0" w:color="auto"/>
              <w:left w:val="none" w:sz="6" w:space="0" w:color="auto"/>
              <w:bottom w:val="none" w:sz="6" w:space="0" w:color="auto"/>
              <w:right w:val="none" w:sz="6" w:space="0" w:color="auto"/>
            </w:tcBorders>
          </w:tcPr>
          <w:p w:rsidR="00932B9E" w:rsidRPr="00932B9E" w:rsidRDefault="00932B9E" w:rsidP="00932B9E">
            <w:pPr>
              <w:keepNext/>
              <w:spacing w:before="280" w:after="280" w:line="360" w:lineRule="auto"/>
              <w:jc w:val="left"/>
              <w:rPr>
                <w:color w:val="000000"/>
                <w:u w:color="000000"/>
              </w:rPr>
            </w:pPr>
            <w:r w:rsidRPr="00932B9E">
              <w:rPr>
                <w:b/>
                <w:bCs/>
                <w:color w:val="000000"/>
                <w:u w:color="000000"/>
              </w:rPr>
              <w:t xml:space="preserve">2037 </w:t>
            </w:r>
          </w:p>
        </w:tc>
        <w:tc>
          <w:tcPr>
            <w:tcW w:w="1064" w:type="dxa"/>
            <w:gridSpan w:val="3"/>
            <w:tcBorders>
              <w:top w:val="none" w:sz="6" w:space="0" w:color="auto"/>
              <w:left w:val="none" w:sz="6" w:space="0" w:color="auto"/>
              <w:bottom w:val="none" w:sz="6" w:space="0" w:color="auto"/>
              <w:right w:val="none" w:sz="6" w:space="0" w:color="auto"/>
            </w:tcBorders>
          </w:tcPr>
          <w:p w:rsidR="00932B9E" w:rsidRPr="00932B9E" w:rsidRDefault="00932B9E" w:rsidP="00932B9E">
            <w:pPr>
              <w:keepNext/>
              <w:spacing w:before="280" w:after="280" w:line="360" w:lineRule="auto"/>
              <w:jc w:val="left"/>
              <w:rPr>
                <w:color w:val="000000"/>
                <w:u w:color="000000"/>
              </w:rPr>
            </w:pPr>
            <w:r w:rsidRPr="00932B9E">
              <w:rPr>
                <w:b/>
                <w:bCs/>
                <w:color w:val="000000"/>
                <w:u w:color="000000"/>
              </w:rPr>
              <w:t xml:space="preserve">2038 </w:t>
            </w:r>
          </w:p>
        </w:tc>
        <w:tc>
          <w:tcPr>
            <w:tcW w:w="1064" w:type="dxa"/>
            <w:gridSpan w:val="3"/>
            <w:tcBorders>
              <w:top w:val="none" w:sz="6" w:space="0" w:color="auto"/>
              <w:left w:val="none" w:sz="6" w:space="0" w:color="auto"/>
              <w:bottom w:val="none" w:sz="6" w:space="0" w:color="auto"/>
              <w:right w:val="none" w:sz="6" w:space="0" w:color="auto"/>
            </w:tcBorders>
          </w:tcPr>
          <w:p w:rsidR="00932B9E" w:rsidRPr="00932B9E" w:rsidRDefault="00932B9E" w:rsidP="00932B9E">
            <w:pPr>
              <w:keepNext/>
              <w:spacing w:before="280" w:after="280" w:line="360" w:lineRule="auto"/>
              <w:jc w:val="left"/>
              <w:rPr>
                <w:color w:val="000000"/>
                <w:u w:color="000000"/>
              </w:rPr>
            </w:pPr>
            <w:r w:rsidRPr="00932B9E">
              <w:rPr>
                <w:b/>
                <w:bCs/>
                <w:color w:val="000000"/>
                <w:u w:color="000000"/>
              </w:rPr>
              <w:t xml:space="preserve">2039 </w:t>
            </w:r>
          </w:p>
        </w:tc>
        <w:tc>
          <w:tcPr>
            <w:tcW w:w="1064" w:type="dxa"/>
            <w:gridSpan w:val="3"/>
            <w:tcBorders>
              <w:top w:val="none" w:sz="6" w:space="0" w:color="auto"/>
              <w:left w:val="none" w:sz="6" w:space="0" w:color="auto"/>
              <w:bottom w:val="none" w:sz="6" w:space="0" w:color="auto"/>
              <w:right w:val="none" w:sz="6" w:space="0" w:color="auto"/>
            </w:tcBorders>
          </w:tcPr>
          <w:p w:rsidR="00932B9E" w:rsidRPr="00932B9E" w:rsidRDefault="00932B9E" w:rsidP="00932B9E">
            <w:pPr>
              <w:keepNext/>
              <w:spacing w:before="280" w:after="280" w:line="360" w:lineRule="auto"/>
              <w:jc w:val="left"/>
              <w:rPr>
                <w:color w:val="000000"/>
                <w:u w:color="000000"/>
              </w:rPr>
            </w:pPr>
            <w:r w:rsidRPr="00932B9E">
              <w:rPr>
                <w:b/>
                <w:bCs/>
                <w:color w:val="000000"/>
                <w:u w:color="000000"/>
              </w:rPr>
              <w:t xml:space="preserve">2040 </w:t>
            </w:r>
          </w:p>
        </w:tc>
        <w:tc>
          <w:tcPr>
            <w:tcW w:w="1064" w:type="dxa"/>
            <w:gridSpan w:val="3"/>
            <w:tcBorders>
              <w:top w:val="none" w:sz="6" w:space="0" w:color="auto"/>
              <w:left w:val="none" w:sz="6" w:space="0" w:color="auto"/>
              <w:bottom w:val="none" w:sz="6" w:space="0" w:color="auto"/>
              <w:right w:val="none" w:sz="6" w:space="0" w:color="auto"/>
            </w:tcBorders>
          </w:tcPr>
          <w:p w:rsidR="00932B9E" w:rsidRPr="00932B9E" w:rsidRDefault="00932B9E" w:rsidP="00932B9E">
            <w:pPr>
              <w:keepNext/>
              <w:spacing w:before="280" w:after="280" w:line="360" w:lineRule="auto"/>
              <w:jc w:val="left"/>
              <w:rPr>
                <w:color w:val="000000"/>
                <w:u w:color="000000"/>
              </w:rPr>
            </w:pPr>
            <w:r w:rsidRPr="00932B9E">
              <w:rPr>
                <w:b/>
                <w:bCs/>
                <w:color w:val="000000"/>
                <w:u w:color="000000"/>
              </w:rPr>
              <w:t xml:space="preserve">2041 </w:t>
            </w:r>
          </w:p>
        </w:tc>
        <w:tc>
          <w:tcPr>
            <w:tcW w:w="1066" w:type="dxa"/>
            <w:gridSpan w:val="3"/>
            <w:tcBorders>
              <w:top w:val="none" w:sz="6" w:space="0" w:color="auto"/>
              <w:left w:val="none" w:sz="6" w:space="0" w:color="auto"/>
              <w:bottom w:val="none" w:sz="6" w:space="0" w:color="auto"/>
            </w:tcBorders>
          </w:tcPr>
          <w:p w:rsidR="00932B9E" w:rsidRPr="00932B9E" w:rsidRDefault="00932B9E" w:rsidP="00932B9E">
            <w:pPr>
              <w:keepNext/>
              <w:spacing w:before="280" w:after="280" w:line="360" w:lineRule="auto"/>
              <w:jc w:val="left"/>
              <w:rPr>
                <w:color w:val="000000"/>
                <w:u w:color="000000"/>
              </w:rPr>
            </w:pPr>
            <w:r w:rsidRPr="00932B9E">
              <w:rPr>
                <w:b/>
                <w:bCs/>
                <w:color w:val="000000"/>
                <w:u w:color="000000"/>
              </w:rPr>
              <w:t xml:space="preserve">2042 </w:t>
            </w:r>
          </w:p>
        </w:tc>
      </w:tr>
      <w:tr w:rsidR="00932B9E" w:rsidRPr="00932B9E">
        <w:tblPrEx>
          <w:tblCellMar>
            <w:top w:w="0" w:type="dxa"/>
            <w:bottom w:w="0" w:type="dxa"/>
          </w:tblCellMar>
        </w:tblPrEx>
        <w:trPr>
          <w:trHeight w:val="338"/>
        </w:trPr>
        <w:tc>
          <w:tcPr>
            <w:tcW w:w="946" w:type="dxa"/>
            <w:gridSpan w:val="2"/>
            <w:tcBorders>
              <w:top w:val="none" w:sz="6" w:space="0" w:color="auto"/>
              <w:bottom w:val="none" w:sz="6" w:space="0" w:color="auto"/>
              <w:right w:val="none" w:sz="6" w:space="0" w:color="auto"/>
            </w:tcBorders>
          </w:tcPr>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kwota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w zł </w:t>
            </w:r>
          </w:p>
        </w:tc>
        <w:tc>
          <w:tcPr>
            <w:tcW w:w="946" w:type="dxa"/>
            <w:gridSpan w:val="3"/>
            <w:tcBorders>
              <w:top w:val="none" w:sz="6" w:space="0" w:color="auto"/>
              <w:left w:val="none" w:sz="6" w:space="0" w:color="auto"/>
              <w:bottom w:val="none" w:sz="6" w:space="0" w:color="auto"/>
              <w:right w:val="none" w:sz="6" w:space="0" w:color="auto"/>
            </w:tcBorders>
          </w:tcPr>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314142 </w:t>
            </w:r>
          </w:p>
        </w:tc>
        <w:tc>
          <w:tcPr>
            <w:tcW w:w="946" w:type="dxa"/>
            <w:gridSpan w:val="3"/>
            <w:tcBorders>
              <w:top w:val="none" w:sz="6" w:space="0" w:color="auto"/>
              <w:left w:val="none" w:sz="6" w:space="0" w:color="auto"/>
              <w:bottom w:val="none" w:sz="6" w:space="0" w:color="auto"/>
              <w:right w:val="none" w:sz="6" w:space="0" w:color="auto"/>
            </w:tcBorders>
          </w:tcPr>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611544 </w:t>
            </w:r>
          </w:p>
        </w:tc>
        <w:tc>
          <w:tcPr>
            <w:tcW w:w="946" w:type="dxa"/>
            <w:gridSpan w:val="3"/>
            <w:tcBorders>
              <w:top w:val="none" w:sz="6" w:space="0" w:color="auto"/>
              <w:left w:val="none" w:sz="6" w:space="0" w:color="auto"/>
              <w:bottom w:val="none" w:sz="6" w:space="0" w:color="auto"/>
              <w:right w:val="none" w:sz="6" w:space="0" w:color="auto"/>
            </w:tcBorders>
          </w:tcPr>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470951 </w:t>
            </w:r>
          </w:p>
        </w:tc>
        <w:tc>
          <w:tcPr>
            <w:tcW w:w="946" w:type="dxa"/>
            <w:gridSpan w:val="2"/>
            <w:tcBorders>
              <w:top w:val="none" w:sz="6" w:space="0" w:color="auto"/>
              <w:left w:val="none" w:sz="6" w:space="0" w:color="auto"/>
              <w:bottom w:val="none" w:sz="6" w:space="0" w:color="auto"/>
              <w:right w:val="none" w:sz="6" w:space="0" w:color="auto"/>
            </w:tcBorders>
          </w:tcPr>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401518 </w:t>
            </w:r>
          </w:p>
        </w:tc>
        <w:tc>
          <w:tcPr>
            <w:tcW w:w="946" w:type="dxa"/>
            <w:gridSpan w:val="3"/>
            <w:tcBorders>
              <w:top w:val="none" w:sz="6" w:space="0" w:color="auto"/>
              <w:left w:val="none" w:sz="6" w:space="0" w:color="auto"/>
              <w:bottom w:val="none" w:sz="6" w:space="0" w:color="auto"/>
              <w:right w:val="none" w:sz="6" w:space="0" w:color="auto"/>
            </w:tcBorders>
          </w:tcPr>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421872 </w:t>
            </w:r>
          </w:p>
        </w:tc>
        <w:tc>
          <w:tcPr>
            <w:tcW w:w="946" w:type="dxa"/>
            <w:gridSpan w:val="3"/>
            <w:tcBorders>
              <w:top w:val="none" w:sz="6" w:space="0" w:color="auto"/>
              <w:left w:val="none" w:sz="6" w:space="0" w:color="auto"/>
              <w:bottom w:val="none" w:sz="6" w:space="0" w:color="auto"/>
              <w:right w:val="none" w:sz="6" w:space="0" w:color="auto"/>
            </w:tcBorders>
          </w:tcPr>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460783 </w:t>
            </w:r>
          </w:p>
        </w:tc>
        <w:tc>
          <w:tcPr>
            <w:tcW w:w="946" w:type="dxa"/>
            <w:gridSpan w:val="3"/>
            <w:tcBorders>
              <w:top w:val="none" w:sz="6" w:space="0" w:color="auto"/>
              <w:left w:val="none" w:sz="6" w:space="0" w:color="auto"/>
              <w:bottom w:val="none" w:sz="6" w:space="0" w:color="auto"/>
              <w:right w:val="none" w:sz="6" w:space="0" w:color="auto"/>
            </w:tcBorders>
          </w:tcPr>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406181 </w:t>
            </w:r>
          </w:p>
        </w:tc>
        <w:tc>
          <w:tcPr>
            <w:tcW w:w="946" w:type="dxa"/>
            <w:gridSpan w:val="2"/>
            <w:tcBorders>
              <w:top w:val="none" w:sz="6" w:space="0" w:color="auto"/>
              <w:left w:val="none" w:sz="6" w:space="0" w:color="auto"/>
              <w:bottom w:val="none" w:sz="6" w:space="0" w:color="auto"/>
            </w:tcBorders>
          </w:tcPr>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450121 </w:t>
            </w:r>
          </w:p>
        </w:tc>
      </w:tr>
    </w:tbl>
    <w:p w:rsidR="00932B9E" w:rsidRPr="00932B9E" w:rsidRDefault="00932B9E" w:rsidP="00932B9E">
      <w:pPr>
        <w:keepNext/>
        <w:spacing w:before="280" w:after="280" w:line="360" w:lineRule="auto"/>
        <w:jc w:val="left"/>
        <w:rPr>
          <w:color w:val="000000"/>
          <w:u w:color="000000"/>
        </w:rPr>
      </w:pPr>
      <w:r w:rsidRPr="00932B9E">
        <w:rPr>
          <w:b/>
          <w:bCs/>
          <w:color w:val="000000"/>
          <w:u w:color="000000"/>
        </w:rPr>
        <w:t xml:space="preserve">3. Wydatki z tytułu udzielonych gwarancji i poręczeń </w:t>
      </w:r>
      <w:r w:rsidRPr="00932B9E">
        <w:rPr>
          <w:color w:val="000000"/>
          <w:u w:color="000000"/>
        </w:rPr>
        <w:t xml:space="preserve">– nie zaplanowano w latach 2026-2042. </w:t>
      </w:r>
    </w:p>
    <w:p w:rsidR="00932B9E" w:rsidRPr="00932B9E" w:rsidRDefault="00932B9E" w:rsidP="00932B9E">
      <w:pPr>
        <w:keepNext/>
        <w:spacing w:before="280" w:after="280" w:line="360" w:lineRule="auto"/>
        <w:jc w:val="left"/>
        <w:rPr>
          <w:color w:val="000000"/>
          <w:u w:color="000000"/>
        </w:rPr>
      </w:pPr>
      <w:r w:rsidRPr="00932B9E">
        <w:rPr>
          <w:b/>
          <w:bCs/>
          <w:color w:val="000000"/>
          <w:u w:color="000000"/>
        </w:rPr>
        <w:t xml:space="preserve">4. Wydatki bieżące na obsługę długu </w:t>
      </w:r>
      <w:r w:rsidRPr="00932B9E">
        <w:rPr>
          <w:color w:val="000000"/>
          <w:u w:color="000000"/>
        </w:rPr>
        <w:t xml:space="preserve">zaplanowano na podstawie harmonogramów spłat zaciągniętych kredytów i pożyczek do roku 2024, tj. zaciągniętych 5 kredytów i 7 pożyczek z WFOŚiGW oraz kredytów i pożyczek planowanych do zaciągnięcia w łącznej wysokości 13.206.484,00zł. Dodatkowo zabezpieczono kwotę 25.000,00zł na prowizję z tytułu kredytu przewidzianego do zaciągnięcia w 2026roku. Przy określeniu oprocentowania kredytów przyjęto stopę procentową 6,5%, 6,0%, 7,5% w skali roku, w zależności od treści zawartych umów i zgodnie ze stawkami WIBOR z 06 listopada br. W odniesieniu do pożyczek z WFOŚiGW przyjęto określone w umowie preferencyjne oprocentowanie 2,75%, za wyjątkiem pożyczki zaciągniętej na zadanie inwestycyjne w 2021, opartej o stawkę WIBOR 12M. W odniesieniu do zaplanowanej do zaciągnięcia w 2026roku pożyczki w kwocie 699.255,00zł z Funduszu Dostępności przyjęto oprocentowanie preferencyjne 0,15% w skali roku.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W Wieloletniej Prognozie Finansowej nie zaplanowano nowych kredytów i pożyczek w kolejnych latach. 5 </w:t>
      </w:r>
    </w:p>
    <w:p w:rsidR="00932B9E" w:rsidRPr="00932B9E" w:rsidRDefault="00932B9E" w:rsidP="00932B9E">
      <w:pPr>
        <w:keepNext/>
        <w:spacing w:before="280" w:after="280" w:line="360" w:lineRule="auto"/>
        <w:jc w:val="left"/>
        <w:rPr>
          <w:color w:val="000000"/>
          <w:u w:color="000000"/>
        </w:rPr>
      </w:pPr>
    </w:p>
    <w:p w:rsidR="00932B9E" w:rsidRPr="00932B9E" w:rsidRDefault="00932B9E" w:rsidP="00932B9E">
      <w:pPr>
        <w:keepNext/>
        <w:spacing w:before="280" w:after="280" w:line="360" w:lineRule="auto"/>
        <w:jc w:val="left"/>
        <w:rPr>
          <w:color w:val="000000"/>
          <w:u w:color="000000"/>
        </w:rPr>
      </w:pPr>
      <w:r w:rsidRPr="00932B9E">
        <w:rPr>
          <w:b/>
          <w:bCs/>
          <w:color w:val="000000"/>
          <w:u w:color="000000"/>
        </w:rPr>
        <w:t xml:space="preserve">5. Wydatki bieżące na przedsięwzięcia wymienione w załączniku nr 2 do uchwały </w:t>
      </w:r>
    </w:p>
    <w:p w:rsidR="00932B9E" w:rsidRPr="00932B9E" w:rsidRDefault="00932B9E" w:rsidP="00932B9E">
      <w:pPr>
        <w:keepNext/>
        <w:numPr>
          <w:ilvl w:val="0"/>
          <w:numId w:val="1"/>
        </w:numPr>
        <w:spacing w:before="280" w:after="280" w:line="360" w:lineRule="auto"/>
        <w:jc w:val="left"/>
        <w:rPr>
          <w:color w:val="000000"/>
          <w:u w:color="000000"/>
        </w:rPr>
      </w:pPr>
      <w:r w:rsidRPr="00932B9E">
        <w:rPr>
          <w:color w:val="000000"/>
          <w:u w:color="000000"/>
        </w:rPr>
        <w:t xml:space="preserve">Wydatki bieżące </w:t>
      </w:r>
    </w:p>
    <w:p w:rsidR="00932B9E" w:rsidRPr="00932B9E" w:rsidRDefault="00932B9E" w:rsidP="00932B9E">
      <w:pPr>
        <w:keepNext/>
        <w:spacing w:before="280" w:after="280" w:line="360" w:lineRule="auto"/>
        <w:jc w:val="left"/>
        <w:rPr>
          <w:color w:val="000000"/>
          <w:u w:color="000000"/>
        </w:rPr>
      </w:pP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Wydatki na przedsięwzięcia związane z programami z udziałem środków Unii Europejskiej: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W roku 2026 przyjęto dodatkowo wydatki bieżące wynikające z dofinansowania z budżetu Unii Europejskiej przedsięwzięć: </w:t>
      </w:r>
    </w:p>
    <w:p w:rsidR="00932B9E" w:rsidRPr="00932B9E" w:rsidRDefault="00932B9E" w:rsidP="00932B9E">
      <w:pPr>
        <w:keepNext/>
        <w:spacing w:before="280" w:after="280" w:line="360" w:lineRule="auto"/>
        <w:jc w:val="left"/>
        <w:rPr>
          <w:color w:val="000000"/>
          <w:u w:color="000000"/>
        </w:rPr>
      </w:pPr>
      <w:r w:rsidRPr="00932B9E">
        <w:rPr>
          <w:color w:val="000000"/>
          <w:u w:color="000000"/>
        </w:rPr>
        <w:lastRenderedPageBreak/>
        <w:t xml:space="preserve">- projekt realizowany w latach 2024-2026 "Cyberbezpieczny samorząd "- w kwocie dla roku 2026- 63.697,70zł;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 projekt realizowany w latach 2024-2026 „Poprawa jakości edukacji przedszkolnej w Miejskim Przedszkolu Publicznym w Węglińcu” – w kwocie dla roku 2026- 120.539,13zł;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Zaplanowano ponadto przedsięwzięcia pozostałe: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 dla lat 2025-2026 limit wydatków w kwotach odpowiednio 210.500,00zł i 181.500,00zł corocznie na usługę utrzymania zieleni na terenie Gminy i Miasta Węgliniec,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 dla lat 2025-2026 w kwocie rocznie 237.600,00zł na usługę utrzymania czystości na terenie Gminy i Miasta Węgliniec,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 dla roku 2026 limit wydatków w kwocie 167.000,00zł na Opracowanie planów zagospodarowania przestrzennego gminy,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 przedsięwzięcie realizowane w latach 2025- 2026 - "Realizacja programu Czyste Powietrze"- w kwotach odpowiednio 68.500,00zł; 5.000,00zł. </w:t>
      </w:r>
    </w:p>
    <w:p w:rsidR="00932B9E" w:rsidRPr="00932B9E" w:rsidRDefault="00932B9E" w:rsidP="00932B9E">
      <w:pPr>
        <w:keepNext/>
        <w:numPr>
          <w:ilvl w:val="0"/>
          <w:numId w:val="2"/>
        </w:numPr>
        <w:spacing w:before="280" w:after="280" w:line="360" w:lineRule="auto"/>
        <w:jc w:val="left"/>
        <w:rPr>
          <w:color w:val="000000"/>
          <w:u w:color="000000"/>
        </w:rPr>
      </w:pPr>
      <w:r w:rsidRPr="00932B9E">
        <w:rPr>
          <w:color w:val="000000"/>
          <w:u w:color="000000"/>
        </w:rPr>
        <w:t xml:space="preserve">Wydatki majątkowe </w:t>
      </w:r>
    </w:p>
    <w:p w:rsidR="00932B9E" w:rsidRPr="00932B9E" w:rsidRDefault="00932B9E" w:rsidP="00932B9E">
      <w:pPr>
        <w:keepNext/>
        <w:spacing w:before="280" w:after="280" w:line="360" w:lineRule="auto"/>
        <w:jc w:val="left"/>
        <w:rPr>
          <w:color w:val="000000"/>
          <w:u w:color="000000"/>
        </w:rPr>
      </w:pP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W załączniku nr 2 do Wieloletniej Prognozy Finansowej zaplanowano wydatki na przedsięwzięcia związane z programami realizowanymi z udziałem środków, o których mowa w art. 5 ust. 1 pkt. 2 i 3 ustawy z dnia 27 sierpnia 2009r. o finansach publicznych. Są to projekty, dla których uzyskano dofinansowanie. Przedsięwzięcia zaplanowane do realizacji przy współfinansowaniu ze środków Unii Europejskiej: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 w latach 2024-2026 zaplanowano przedsięwzięcie „Poprawa jakości edukacji przedszkolnej w Miejskim Przedszkolu Publicznym w Węglińcu” w zakresie wydatków majątkowych limit dla roku 2026- 106.099,69zł;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 w latach 2025-2028 zaplanowano realizację przedsięwzięcia „Gmina Węgliniec Rowerowym Centrum Borów Dolnośląskich” w kwotach limitów dla lat 2026-2028 odpowiednio 1.943.809,00zł, 1.943.809,00zł i 1.620.250,00zł- projekt ten począwszy od roku 2026 obejmuje także zadanie „Przebudowa nawierzchni ścieżki rowerowej „Szlakiem Starej Kolei Węgliniec-Czerwona Woda”, ujęte do 2025 roku jako projekt odrębny;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 w latach 2025-2026 zaplanowano realizację przedsięwzięcia „Modernizacja obiektów infrastruktury kultury na terenie Gminy Węgliniec” w kwocie limitu dla roku 2026 - 3.957.090,64zł; 6 </w:t>
      </w:r>
    </w:p>
    <w:p w:rsidR="00932B9E" w:rsidRPr="00932B9E" w:rsidRDefault="00932B9E" w:rsidP="00932B9E">
      <w:pPr>
        <w:keepNext/>
        <w:spacing w:before="280" w:after="280" w:line="360" w:lineRule="auto"/>
        <w:jc w:val="left"/>
        <w:rPr>
          <w:color w:val="000000"/>
          <w:u w:color="000000"/>
        </w:rPr>
      </w:pPr>
    </w:p>
    <w:p w:rsidR="00932B9E" w:rsidRPr="00932B9E" w:rsidRDefault="00932B9E" w:rsidP="00932B9E">
      <w:pPr>
        <w:keepNext/>
        <w:spacing w:before="280" w:after="280" w:line="360" w:lineRule="auto"/>
        <w:jc w:val="left"/>
        <w:rPr>
          <w:color w:val="000000"/>
          <w:u w:color="000000"/>
        </w:rPr>
      </w:pPr>
      <w:r w:rsidRPr="00932B9E">
        <w:rPr>
          <w:color w:val="000000"/>
          <w:u w:color="000000"/>
        </w:rPr>
        <w:lastRenderedPageBreak/>
        <w:t xml:space="preserve">- w latach 2025- 2027 zaplanowano wydatki na realizację przedsięwzięcia „Odnowienie parku miejskiego oraz zagospodarowanie przestrzeni publicznej między budynkami w Węglińcu” w kwotach limitów odpowiednio 123.000,00zł i 6.646.850,00zł.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W załączniku nr 2 zaplanowano także realizację przedsięwzięć pozostałych – przyjęto zadania kontynuowane i z przewidzianym terminem zakończenia w 2026roku oraz zadania nowe: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 w latach 2026-2027 zaplanowano przedsięwzięcie "Przebudowa komunalnych lokali mieszkalnych przy ul. Żagańskiej w Ruszowie”- w kwotach limitów 67.650,00zł i 200.000,00zł;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 w latach 2025-2028 zaplanowano przedsięwzięcie „Przebudowa budynku po szkole podstawowej w Starym Węglińcu wraz ze zmianą sposobu użytkowania na budynek mieszkalny” w kwotach limitów dla lat 2026- 2028 odpowiednio 224.000,00zł,3.000.000,00zł i 3.000.000,00zł;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 w latach 2023-2026 zaplanowano przedsięwzięcie „Realizacja Programu Ciepłe Mieszkanie” dofinansowane z Narodowego Funduszu Ochrony Środowiska i Gospodarki Wodnej w kwocie limitu dla roku 2026 - 700.000,00zł;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 w latach 2024-2026 zaplanowano przedsięwzięcie „Przebudowa oczyszczalni ścieków w Węglińcu” z limitem dla roku 2026 - 2.886.000,00zł;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 w roku 2026 ustalono limit zadania „ Budowa chodnika w miejscowości Ruszów ul. Bolesławiecka i ul. Zgorzelecka przy drogach wojewódzkich 350 i 296” w kwocie 436.900,00zł;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 w roku 2026 zaplanowano realizację przedsięwzięcia „Budowa windy przystosowanej dla osób z niepełnosprawnościami przy budynku Urzędu Gminy i Miasta Węgliniec” w kwocie limitu 699.255,00zł;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 w roku 2026 zaplanowano kontynuację przedsięwzięcia „Przebudowa placu zabaw przy Miejskim Żłobku Publicznym w Węglińcu” z limitem w kwocie 6.765,00zł.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Przyjęcie do realizacji nowych zadań, nie wymienionych w załączniku do Wieloletniej Prognozy Finansowej, w tym w szczególności dużych przedsięwzięć wodno - kanalizacyjnych, nawet zakładając częściowe dofinansowanie z budżetu Unii Europejskiej, będzie musiało pociągnąć za sobą konieczność zaciągania dalszych kredytów. </w:t>
      </w:r>
    </w:p>
    <w:p w:rsidR="00932B9E" w:rsidRPr="00932B9E" w:rsidRDefault="00932B9E" w:rsidP="00932B9E">
      <w:pPr>
        <w:keepNext/>
        <w:spacing w:before="280" w:after="280" w:line="360" w:lineRule="auto"/>
        <w:jc w:val="left"/>
        <w:rPr>
          <w:color w:val="000000"/>
          <w:u w:color="000000"/>
        </w:rPr>
      </w:pPr>
      <w:r w:rsidRPr="00932B9E">
        <w:rPr>
          <w:b/>
          <w:bCs/>
          <w:color w:val="000000"/>
          <w:u w:color="000000"/>
        </w:rPr>
        <w:t xml:space="preserve">Środki na spłatę rat kapitałowych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Zaplanowano na podstawie harmonogramów spłat zaciągniętych i planowanych do zaciągnięcia kredytów i pożyczek do roku 2026, dla których przyjęty okres spłaty to rok 2042. Źródłem pokrycia spłat kredytów i </w:t>
      </w:r>
      <w:r w:rsidRPr="00932B9E">
        <w:rPr>
          <w:color w:val="000000"/>
          <w:u w:color="000000"/>
        </w:rPr>
        <w:lastRenderedPageBreak/>
        <w:t xml:space="preserve">pożyczek są według założeń w Wieloletniej Prognozie Finansowej - w roku 2026 – przychody z zaciągniętej pożyczki i kredytu, natomiast w latach 2027 – 2042 - nadwyżka budżetowa. 7 </w:t>
      </w:r>
    </w:p>
    <w:p w:rsidR="00932B9E" w:rsidRPr="00932B9E" w:rsidRDefault="00932B9E" w:rsidP="00932B9E">
      <w:pPr>
        <w:keepNext/>
        <w:spacing w:before="280" w:after="280" w:line="360" w:lineRule="auto"/>
        <w:jc w:val="left"/>
        <w:rPr>
          <w:color w:val="000000"/>
          <w:u w:color="000000"/>
        </w:rPr>
      </w:pPr>
    </w:p>
    <w:p w:rsidR="00932B9E" w:rsidRPr="00932B9E" w:rsidRDefault="00932B9E" w:rsidP="00932B9E">
      <w:pPr>
        <w:keepNext/>
        <w:spacing w:before="280" w:after="280" w:line="360" w:lineRule="auto"/>
        <w:jc w:val="left"/>
        <w:rPr>
          <w:color w:val="000000"/>
          <w:u w:color="000000"/>
        </w:rPr>
      </w:pPr>
      <w:r w:rsidRPr="00932B9E">
        <w:rPr>
          <w:b/>
          <w:bCs/>
          <w:color w:val="000000"/>
          <w:u w:color="000000"/>
        </w:rPr>
        <w:t xml:space="preserve">Przychody z kredytów, pożyczek i emisji obligacji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W 2026r. przyjęto założenie zaciągnięcia nowego kredytu komercyjnego w wysokości 2.500.000,00zł oraz pożyczki o preferencyjnym oprocentowaniu z BGK – Fundusz Dostępności w wysokości 699.255,00zł.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W kolejnych latach w Wieloletniej Prognozie Finansowej nie zaplanowano nowych kredytów i pożyczek.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Kwota długu Gminy na dzień 31.12.2025r. wyniesie 10.184.868,00zł. W kwocie tej zawarto zobowiązanie z tytułu umowy leasingu zawartej na potrzeby zakupu samochodu osobowego na potrzeby działalności Zakładu Usług Komunalnych w kwocie 177.639,00zł. Umowę zawarto na okres do 2028roku. W latach 2026-2028 spłaty tego długu dokonywane będą w ramach wydatków Zakładu Usług Komunalnych w kwotach odpowiednio 62.095,00zł, 62.095,00zł i 53.449,00zł. W roku 2026 dług wyniesie według prognozy 12.174.462,00zł, w tym 115.544,00zł z tytułu długu spłacanego wydatkami.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Kształtowanie się poziomu zadłużenia w kolejnych latach ujęto w Wieloletniej Prognozie Finansowej Gminy na lata 2027-2042, będącej załącznikiem do niniejszej uchwały.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Przewidywany w 2026 roku poziom zadłużenia wyniesie 12.174.462,00zł, tj. 19,77% planowanych dochodów gminy. W latach następnych począwszy od 2027r. systematycznie maleje. Poziom dopuszczalnego zadłużenia jest indywidualnie obliczany dla każdej Gminy. Wskaźniki te dla Gminy Węgliniec są w kolejnych latach objętych Prognozą zachowane. </w:t>
      </w:r>
    </w:p>
    <w:p w:rsidR="00932B9E" w:rsidRPr="00932B9E" w:rsidRDefault="00932B9E" w:rsidP="00932B9E">
      <w:pPr>
        <w:keepNext/>
        <w:spacing w:before="280" w:after="280" w:line="360" w:lineRule="auto"/>
        <w:jc w:val="left"/>
        <w:rPr>
          <w:color w:val="000000"/>
          <w:u w:color="000000"/>
        </w:rPr>
      </w:pPr>
      <w:r w:rsidRPr="00932B9E">
        <w:rPr>
          <w:b/>
          <w:bCs/>
          <w:color w:val="000000"/>
          <w:u w:color="000000"/>
        </w:rPr>
        <w:t xml:space="preserve">Prognozowana łączna kwota spłaty zobowiązań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Zgodnie z art. 243 ustawy o finansach publicznych organ stanowiący jednostki samorządu terytorialnego nie może uchwalić budżetu, którego realizacja spowoduje, że w roku budżetowym oraz w każdym roku następującym po roku budżetowym relacja łącznej kwoty przypadających w danym roku budżetowym: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1) spłat rat kredytów i pożyczek, o których mowa w art. 89 ust. 1 pkt 2–4 oraz art. 90, wraz z należnymi w danym roku wydatkami bieżącymi na obsługę zobowiązań, o których mowa w art. 89 ust. 1 i art. 90, w tym odsetkami od kredytów i pożyczek,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2) wykupów papierów wartościowych emitowanych na cele określone w art. 89 ust. 1 pkt 2–4 oraz art. 90 wraz z należnymi w danym roku wydatkami bieżącymi na obsługę zobowiązań wynikających z papierów </w:t>
      </w:r>
      <w:r w:rsidRPr="00932B9E">
        <w:rPr>
          <w:color w:val="000000"/>
          <w:u w:color="000000"/>
        </w:rPr>
        <w:lastRenderedPageBreak/>
        <w:t xml:space="preserve">wartościowych emitowanych na cele określone w art. 89 ust. 1 i art. 90, w tym odsetkami i dyskontem od tych papierów,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3) spłat rat zobowiązań zaliczanych do tytułu dłużnego, o którym mowa w art. 72 ust. 1 pkt 2, innych niż określone w pkt 1, z wyłączeniem rat zobowiązań określonych w art. 91 ust. 3 pkt 1, wraz z należnymi w danym roku wydatkami bieżącymi na obsługę zobowiązań zaliczanych do tytułu dłużnego, o którym mowa w art. 72 ust. 1 pkt 2, innych niż określone w pkt 1,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4) potencjalnych spłat kwot wynikających z udzielonych poręczeń oraz gwarancji 8 </w:t>
      </w:r>
    </w:p>
    <w:p w:rsidR="00932B9E" w:rsidRPr="00932B9E" w:rsidRDefault="00932B9E" w:rsidP="00932B9E">
      <w:pPr>
        <w:keepNext/>
        <w:spacing w:before="280" w:after="280" w:line="360" w:lineRule="auto"/>
        <w:jc w:val="left"/>
        <w:rPr>
          <w:color w:val="000000"/>
          <w:u w:color="000000"/>
        </w:rPr>
      </w:pP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 do planowanych dochodów bieżących budżetu przekroczy średnią arytmetyczną z obliczonych dla ostatnich siedmiu lat relacji jej dochodów bieżących pomniejszonych o wydatki bieżące do dochodów bieżących budżetu, obliczoną według wzoru.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Ustawodawca w nowej Ustawie o dochodach jednostek samorządu terytorialnego złagodził przepisy ustawy o finansach publicznych w zakresie zachowania relacji z art. 242 i art.243 na okres 2024-2029 roku. Te nowe regulacje pozwalają na tymczasowe niezachowanie wskaźnika, pod warunkiem, że zadłużenie nie przekroczy 100% planowanych (lub wykonanych) dochodów oraz nie zagrozi realizacji zadań publicznych. Relacja ta jest w Gminie Węgliniec zachowana i wynosi w roku 2026 - 19,77%.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Prognozowane dla Gminy Węgliniec zaciągane zobowiązania i ich spłaty nie skutkują przekroczeniem indywidualnych wskaźników dopuszczalnej spłaty. W latach 2022-2025 relacja z art. 243 mówiąca o obligatoryjnym ujęciu wskaźników obliczanych według wzoru z danych za 7 lat poprzedzających rok budżetowy została zmieniona przez ustawodawcę, który dał w tym przypadku możliwość wyboru okresu obliczenia dopuszczalnych wskaźników: 7lat bądź 3 lata.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W przypadku naszej Gminy analiza danych do WPF pozwalała stwierdzić, że korzystniejszym okresem wyboru powinien być okres 7-letni. Decyzję o wyborze średniej z 7 lat podjął Burmistrz Zarządzeniem nr 130/2021 z dnia 22.12.2021r. </w:t>
      </w:r>
    </w:p>
    <w:p w:rsidR="00932B9E" w:rsidRPr="00932B9E" w:rsidRDefault="00932B9E" w:rsidP="00932B9E">
      <w:pPr>
        <w:keepNext/>
        <w:spacing w:before="280" w:after="280" w:line="360" w:lineRule="auto"/>
        <w:jc w:val="left"/>
        <w:rPr>
          <w:color w:val="000000"/>
          <w:u w:color="000000"/>
        </w:rPr>
      </w:pPr>
      <w:r w:rsidRPr="00932B9E">
        <w:rPr>
          <w:b/>
          <w:bCs/>
          <w:color w:val="000000"/>
          <w:u w:color="000000"/>
        </w:rPr>
        <w:t xml:space="preserve">Finansowanie deficytu i przeznaczanie nadwyżki.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W związku z przepisem art. 89 ust. 1 ustawy z dnia 27 sierpnia 2009r. o finansach publicznych przewiduje się, że w poszczególnych latach mogą być zaciągane kredyty krótkoterminowe na wyprzedzające finansowanie działań finansowanych ze środków pochodzących z budżetu Unii Europejskiej lub/i pokrycie występującego w ciągu roku przejściowego deficytu budżetu jednostki samorządu terytorialnego. W takim przypadku ich spłata następuje w tym samym roku, w którym zostały zaciągnięte. </w:t>
      </w:r>
    </w:p>
    <w:p w:rsidR="00932B9E" w:rsidRPr="00932B9E" w:rsidRDefault="00932B9E" w:rsidP="00932B9E">
      <w:pPr>
        <w:keepNext/>
        <w:spacing w:before="280" w:after="280" w:line="360" w:lineRule="auto"/>
        <w:jc w:val="left"/>
        <w:rPr>
          <w:color w:val="000000"/>
          <w:u w:color="000000"/>
        </w:rPr>
      </w:pPr>
      <w:r w:rsidRPr="00932B9E">
        <w:rPr>
          <w:color w:val="000000"/>
          <w:u w:color="000000"/>
        </w:rPr>
        <w:lastRenderedPageBreak/>
        <w:t xml:space="preserve">W przypadku planowania w danym roku kredytów i pożyczek, muszą mieć one pokrycie w nadwyżce budżetowej danego roku, nadwyżce budżetowej z lat poprzednich lub wolnych środkach. Nadwyżka budżetowa przeznaczana jest na planowane spłaty kredytów i pożyczek. </w:t>
      </w:r>
    </w:p>
    <w:p w:rsidR="00932B9E" w:rsidRPr="00932B9E" w:rsidRDefault="00932B9E" w:rsidP="00932B9E">
      <w:pPr>
        <w:keepNext/>
        <w:spacing w:before="280" w:after="280" w:line="360" w:lineRule="auto"/>
        <w:jc w:val="left"/>
        <w:rPr>
          <w:color w:val="000000"/>
          <w:u w:color="000000"/>
        </w:rPr>
      </w:pPr>
      <w:r w:rsidRPr="00932B9E">
        <w:rPr>
          <w:b/>
          <w:bCs/>
          <w:color w:val="000000"/>
          <w:u w:color="000000"/>
        </w:rPr>
        <w:t xml:space="preserve">Kwota długu, sposób jego sfinansowania i relacja o której mowa w art. 243 ustawy o finansach publicznych.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Przewidywany w 2026 roku poziom zadłużenia wynosi 12.174.462,00zł, tj. 19,77% planowanych dochodów gminy. W latach następnych począwszy od 2027r. systematycznie maleje. Poziom dopuszczalnego zadłużenia jest indywidualnie obliczany dla każdej Gminy. Wskaźniki te dla Gminy Węgliniec są w kolejnych latach objętych Prognozą zachowane.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W prognozie nie założono przychodów z nowych kredytów w latach 2027-2042, będą one uruchamiane sukcesywnie w miarę przystępowania do realizacji dużych przedsięwzięć.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W latach objętych prognozą nie zakłada się zaciągania zobowiązań przez związki, do których należy gmina oraz wystąpienia zobowiązań wymagalnych. 9 </w:t>
      </w:r>
    </w:p>
    <w:p w:rsidR="00932B9E" w:rsidRPr="00932B9E" w:rsidRDefault="00932B9E" w:rsidP="00932B9E">
      <w:pPr>
        <w:keepNext/>
        <w:spacing w:before="280" w:after="280" w:line="360" w:lineRule="auto"/>
        <w:jc w:val="left"/>
        <w:rPr>
          <w:color w:val="000000"/>
          <w:u w:color="000000"/>
        </w:rPr>
      </w:pP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Kwota wykazana jako dług na koniec każdego roku jest wynikiem działania: dług z poprzedniego roku + zaciągany dług – spłata długu. Na poziom kwoty długu wpływa mają także dokonane jego umorzenia. Ewentualne umorzenia pożyczek będą ujmowane sukcesywnie. W pozycji tej nie uwzględnia się długu związków, do których należy gmina.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Sposób finansowania długu – przyjmuje się, że dług (jego spłata) jest finansowana w pierwszej kolejności z nadwyżki budżetowej, nadwyżki z lat poprzednich. W następnej kolejności dług finansuje się nowo zaciąganym długiem lub pojawiającymi się wolnymi środkami na rachunku budżetu gminy. W Wieloletniej Prognozie Finansowej na lata 2027-2042 nie przewidziano wolnych środków jako przychodów budżetów kolejnych lat. Pojawiające się wolne środki będą wprowadzane po zakończeniu każdego roku budżetowego i sporządzeniu sprawozdania finansowego Gminy Węgliniec.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W roku 2026r. zaplanowano przychody: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 z zaciągniętych kredytów komercyjnych w wysokości 2.500.000,00zł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 z zaciągniętej pożyczki o preferencyjnym oprocentowaniu z BGK – Fundusz Dostępności w wysokości 699.255,00zł; </w:t>
      </w:r>
    </w:p>
    <w:p w:rsidR="00932B9E" w:rsidRPr="00932B9E" w:rsidRDefault="00932B9E" w:rsidP="00932B9E">
      <w:pPr>
        <w:keepNext/>
        <w:spacing w:before="280" w:after="280" w:line="360" w:lineRule="auto"/>
        <w:jc w:val="left"/>
        <w:rPr>
          <w:color w:val="000000"/>
          <w:u w:color="000000"/>
        </w:rPr>
      </w:pPr>
      <w:r w:rsidRPr="00932B9E">
        <w:rPr>
          <w:color w:val="000000"/>
          <w:u w:color="000000"/>
        </w:rPr>
        <w:lastRenderedPageBreak/>
        <w:t xml:space="preserve">- z wolnych środków jako nadwyżki środków pieniężnych na rachunku bieżącym budżetu Gminy, wynikających z rozliczeń wyemitowanych papierów wartościowych, kredytów i pożyczek z lat ubiegłych - z roku 2024 w kwocie 791.000,00zł.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W Wieloletniej Prognozie Finansowej nie przewiduje się udzielenia pożyczek z budżetu gminy.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Relacja o której mowa w art. 243 ustawy o finansach publicznych wyliczona została w załączniku nr 1 do uchwały. Wielkości w tym wierszu wyliczane są do czwartego miejsca po przecinku co odpowiada zapisowi procentowemu do drugiego miejsca po przecinku, np: 12,25 % = 0,1225.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Wszystkie wskaźniki, obliczane w Wieloletniej Prognozie Finansowej Gminy Węgliniec na lata 2026-2042 mieszczą się w granicach określonych przepisami ustawowymi. </w:t>
      </w:r>
    </w:p>
    <w:p w:rsidR="00932B9E" w:rsidRPr="00932B9E" w:rsidRDefault="00932B9E" w:rsidP="00932B9E">
      <w:pPr>
        <w:keepNext/>
        <w:spacing w:before="280" w:after="280" w:line="360" w:lineRule="auto"/>
        <w:jc w:val="left"/>
        <w:rPr>
          <w:color w:val="000000"/>
          <w:u w:color="000000"/>
        </w:rPr>
      </w:pPr>
      <w:r w:rsidRPr="00932B9E">
        <w:rPr>
          <w:b/>
          <w:bCs/>
          <w:color w:val="000000"/>
          <w:u w:color="000000"/>
        </w:rPr>
        <w:t xml:space="preserve">Podsumowanie </w:t>
      </w:r>
    </w:p>
    <w:p w:rsidR="00932B9E" w:rsidRPr="00932B9E" w:rsidRDefault="00932B9E" w:rsidP="00932B9E">
      <w:pPr>
        <w:keepNext/>
        <w:spacing w:before="280" w:after="280" w:line="360" w:lineRule="auto"/>
        <w:jc w:val="left"/>
        <w:rPr>
          <w:color w:val="000000"/>
          <w:u w:color="000000"/>
        </w:rPr>
      </w:pPr>
      <w:r w:rsidRPr="00932B9E">
        <w:rPr>
          <w:color w:val="000000"/>
          <w:u w:color="000000"/>
        </w:rPr>
        <w:t xml:space="preserve">W opracowanych prognozach staraliśmy się opierać na pewnych, realistycznych założeniach. W przypadku radykalnego pogorszenia się sytuacji finansowej Gminy należy opracować strategię dalszego ograniczania wydatków bieżących lub zapewnienia rozwiązań generujących dodatkowe dochody bieżące. </w:t>
      </w:r>
    </w:p>
    <w:p w:rsidR="00932B9E" w:rsidRDefault="00932B9E" w:rsidP="00932B9E">
      <w:pPr>
        <w:keepNext/>
        <w:spacing w:before="280" w:after="280" w:line="360" w:lineRule="auto"/>
        <w:jc w:val="left"/>
        <w:rPr>
          <w:color w:val="000000"/>
          <w:u w:color="000000"/>
        </w:rPr>
      </w:pPr>
      <w:r w:rsidRPr="00932B9E">
        <w:rPr>
          <w:color w:val="000000"/>
          <w:u w:color="000000"/>
        </w:rPr>
        <w:t>W każdym przypadku wygenerowania dodatkowych dochodów bieżących w roku 2026 lub zwiększenia kwoty wolnych środków na rachunku bankowym budżetu Gminy powstającej na koniec roku należy kierować je w znacznej części na zmniejszenie planowanego do zaciągnięcia kredytu długoterminowego lub pokrycie nie uzyskanych dochodów bieżących lub majątkowych.</w:t>
      </w:r>
    </w:p>
    <w:sectPr w:rsidR="00932B9E">
      <w:footerReference w:type="default" r:id="rId13"/>
      <w:endnotePr>
        <w:numFmt w:val="decimal"/>
      </w:endnotePr>
      <w:pgSz w:w="11906" w:h="16838"/>
      <w:pgMar w:top="1417" w:right="1020" w:bottom="992" w:left="102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B7805" w:rsidRDefault="008B7805">
      <w:r>
        <w:separator/>
      </w:r>
    </w:p>
  </w:endnote>
  <w:endnote w:type="continuationSeparator" w:id="0">
    <w:p w:rsidR="008B7805" w:rsidRDefault="008B7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912AFC">
      <w:tc>
        <w:tcPr>
          <w:tcW w:w="6577" w:type="dxa"/>
          <w:tcBorders>
            <w:top w:val="single" w:sz="4" w:space="0" w:color="auto"/>
            <w:left w:val="nil"/>
            <w:bottom w:val="nil"/>
            <w:right w:val="nil"/>
          </w:tcBorders>
          <w:tcMar>
            <w:top w:w="100" w:type="dxa"/>
            <w:left w:w="0" w:type="dxa"/>
            <w:bottom w:w="0" w:type="dxa"/>
            <w:right w:w="0" w:type="dxa"/>
          </w:tcMar>
          <w:hideMark/>
        </w:tcPr>
        <w:p w:rsidR="00912AFC" w:rsidRDefault="00000000">
          <w:pPr>
            <w:jc w:val="left"/>
            <w:rPr>
              <w:sz w:val="18"/>
            </w:rPr>
          </w:pPr>
          <w:r>
            <w:rPr>
              <w:sz w:val="18"/>
            </w:rPr>
            <w:t>Id: AD41CD9B-4178-416C-8B3A-30066F561FE3. Podpisany</w:t>
          </w:r>
        </w:p>
      </w:tc>
      <w:tc>
        <w:tcPr>
          <w:tcW w:w="3289" w:type="dxa"/>
          <w:tcBorders>
            <w:top w:val="single" w:sz="4" w:space="0" w:color="auto"/>
            <w:left w:val="nil"/>
            <w:bottom w:val="nil"/>
            <w:right w:val="nil"/>
          </w:tcBorders>
          <w:tcMar>
            <w:top w:w="100" w:type="dxa"/>
            <w:left w:w="0" w:type="dxa"/>
            <w:bottom w:w="0" w:type="dxa"/>
            <w:right w:w="0" w:type="dxa"/>
          </w:tcMar>
          <w:hideMark/>
        </w:tcPr>
        <w:p w:rsidR="00912AFC"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932B9E">
            <w:rPr>
              <w:noProof/>
              <w:sz w:val="18"/>
            </w:rPr>
            <w:t>1</w:t>
          </w:r>
          <w:r>
            <w:rPr>
              <w:sz w:val="18"/>
            </w:rPr>
            <w:fldChar w:fldCharType="end"/>
          </w:r>
        </w:p>
      </w:tc>
    </w:tr>
  </w:tbl>
  <w:p w:rsidR="00912AFC" w:rsidRDefault="00912AFC">
    <w:pPr>
      <w:rPr>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912AFC">
      <w:tc>
        <w:tcPr>
          <w:tcW w:w="6577" w:type="dxa"/>
          <w:tcBorders>
            <w:top w:val="single" w:sz="4" w:space="0" w:color="auto"/>
            <w:left w:val="nil"/>
            <w:bottom w:val="nil"/>
            <w:right w:val="nil"/>
          </w:tcBorders>
          <w:tcMar>
            <w:top w:w="100" w:type="dxa"/>
            <w:left w:w="0" w:type="dxa"/>
            <w:bottom w:w="0" w:type="dxa"/>
            <w:right w:w="0" w:type="dxa"/>
          </w:tcMar>
          <w:hideMark/>
        </w:tcPr>
        <w:p w:rsidR="00912AFC" w:rsidRDefault="00000000">
          <w:pPr>
            <w:jc w:val="left"/>
            <w:rPr>
              <w:sz w:val="18"/>
            </w:rPr>
          </w:pPr>
          <w:r>
            <w:rPr>
              <w:sz w:val="18"/>
            </w:rPr>
            <w:t>Id: AD41CD9B-4178-416C-8B3A-30066F561FE3. Podpisany</w:t>
          </w:r>
        </w:p>
      </w:tc>
      <w:tc>
        <w:tcPr>
          <w:tcW w:w="3289" w:type="dxa"/>
          <w:tcBorders>
            <w:top w:val="single" w:sz="4" w:space="0" w:color="auto"/>
            <w:left w:val="nil"/>
            <w:bottom w:val="nil"/>
            <w:right w:val="nil"/>
          </w:tcBorders>
          <w:tcMar>
            <w:top w:w="100" w:type="dxa"/>
            <w:left w:w="0" w:type="dxa"/>
            <w:bottom w:w="0" w:type="dxa"/>
            <w:right w:w="0" w:type="dxa"/>
          </w:tcMar>
          <w:hideMark/>
        </w:tcPr>
        <w:p w:rsidR="00912AFC"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932B9E">
            <w:rPr>
              <w:noProof/>
              <w:sz w:val="18"/>
            </w:rPr>
            <w:t>1</w:t>
          </w:r>
          <w:r>
            <w:rPr>
              <w:sz w:val="18"/>
            </w:rPr>
            <w:fldChar w:fldCharType="end"/>
          </w:r>
        </w:p>
      </w:tc>
    </w:tr>
  </w:tbl>
  <w:p w:rsidR="00912AFC" w:rsidRDefault="00912AFC">
    <w:pPr>
      <w:rPr>
        <w:sz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912AFC">
      <w:tc>
        <w:tcPr>
          <w:tcW w:w="6577" w:type="dxa"/>
          <w:tcBorders>
            <w:top w:val="single" w:sz="4" w:space="0" w:color="auto"/>
            <w:left w:val="nil"/>
            <w:bottom w:val="nil"/>
            <w:right w:val="nil"/>
          </w:tcBorders>
          <w:tcMar>
            <w:top w:w="100" w:type="dxa"/>
            <w:left w:w="0" w:type="dxa"/>
            <w:bottom w:w="0" w:type="dxa"/>
            <w:right w:w="0" w:type="dxa"/>
          </w:tcMar>
          <w:hideMark/>
        </w:tcPr>
        <w:p w:rsidR="00912AFC" w:rsidRDefault="00000000">
          <w:pPr>
            <w:jc w:val="left"/>
            <w:rPr>
              <w:sz w:val="18"/>
            </w:rPr>
          </w:pPr>
          <w:r>
            <w:rPr>
              <w:sz w:val="18"/>
            </w:rPr>
            <w:t>Id: AD41CD9B-4178-416C-8B3A-30066F561FE3. Podpisany</w:t>
          </w:r>
        </w:p>
      </w:tc>
      <w:tc>
        <w:tcPr>
          <w:tcW w:w="3289" w:type="dxa"/>
          <w:tcBorders>
            <w:top w:val="single" w:sz="4" w:space="0" w:color="auto"/>
            <w:left w:val="nil"/>
            <w:bottom w:val="nil"/>
            <w:right w:val="nil"/>
          </w:tcBorders>
          <w:tcMar>
            <w:top w:w="100" w:type="dxa"/>
            <w:left w:w="0" w:type="dxa"/>
            <w:bottom w:w="0" w:type="dxa"/>
            <w:right w:w="0" w:type="dxa"/>
          </w:tcMar>
          <w:hideMark/>
        </w:tcPr>
        <w:p w:rsidR="00912AFC"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932B9E">
            <w:rPr>
              <w:noProof/>
              <w:sz w:val="18"/>
            </w:rPr>
            <w:t>1</w:t>
          </w:r>
          <w:r>
            <w:rPr>
              <w:sz w:val="18"/>
            </w:rPr>
            <w:fldChar w:fldCharType="end"/>
          </w:r>
        </w:p>
      </w:tc>
    </w:tr>
  </w:tbl>
  <w:p w:rsidR="00912AFC" w:rsidRDefault="00912AFC">
    <w:pPr>
      <w:rPr>
        <w:sz w:val="1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912AFC">
      <w:tc>
        <w:tcPr>
          <w:tcW w:w="6577" w:type="dxa"/>
          <w:tcBorders>
            <w:top w:val="single" w:sz="4" w:space="0" w:color="auto"/>
            <w:left w:val="nil"/>
            <w:bottom w:val="nil"/>
            <w:right w:val="nil"/>
          </w:tcBorders>
          <w:tcMar>
            <w:top w:w="100" w:type="dxa"/>
            <w:left w:w="0" w:type="dxa"/>
            <w:bottom w:w="0" w:type="dxa"/>
            <w:right w:w="0" w:type="dxa"/>
          </w:tcMar>
          <w:hideMark/>
        </w:tcPr>
        <w:p w:rsidR="00912AFC" w:rsidRDefault="00000000">
          <w:pPr>
            <w:jc w:val="left"/>
            <w:rPr>
              <w:sz w:val="18"/>
            </w:rPr>
          </w:pPr>
          <w:r>
            <w:rPr>
              <w:sz w:val="18"/>
            </w:rPr>
            <w:t>Id: AD41CD9B-4178-416C-8B3A-30066F561FE3. Podpisany</w:t>
          </w:r>
        </w:p>
      </w:tc>
      <w:tc>
        <w:tcPr>
          <w:tcW w:w="3289" w:type="dxa"/>
          <w:tcBorders>
            <w:top w:val="single" w:sz="4" w:space="0" w:color="auto"/>
            <w:left w:val="nil"/>
            <w:bottom w:val="nil"/>
            <w:right w:val="nil"/>
          </w:tcBorders>
          <w:tcMar>
            <w:top w:w="100" w:type="dxa"/>
            <w:left w:w="0" w:type="dxa"/>
            <w:bottom w:w="0" w:type="dxa"/>
            <w:right w:w="0" w:type="dxa"/>
          </w:tcMar>
          <w:hideMark/>
        </w:tcPr>
        <w:p w:rsidR="00912AFC"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932B9E">
            <w:rPr>
              <w:noProof/>
              <w:sz w:val="18"/>
            </w:rPr>
            <w:t>1</w:t>
          </w:r>
          <w:r>
            <w:rPr>
              <w:sz w:val="18"/>
            </w:rPr>
            <w:fldChar w:fldCharType="end"/>
          </w:r>
        </w:p>
      </w:tc>
    </w:tr>
  </w:tbl>
  <w:p w:rsidR="00912AFC" w:rsidRDefault="00912AFC">
    <w:pP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B7805" w:rsidRDefault="008B7805">
      <w:r>
        <w:separator/>
      </w:r>
    </w:p>
  </w:footnote>
  <w:footnote w:type="continuationSeparator" w:id="0">
    <w:p w:rsidR="008B7805" w:rsidRDefault="008B78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CCDBD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700DD65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260453670">
    <w:abstractNumId w:val="0"/>
  </w:num>
  <w:num w:numId="2" w16cid:durableId="6830185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A77B3E"/>
    <w:rsid w:val="003716AC"/>
    <w:rsid w:val="008B1711"/>
    <w:rsid w:val="008B7805"/>
    <w:rsid w:val="00912AFC"/>
    <w:rsid w:val="00932B9E"/>
    <w:rsid w:val="00A77B3E"/>
    <w:rsid w:val="00CA2A55"/>
    <w:rsid w:val="00CC28B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1A6475D-B76A-473E-919B-118B5D54D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EF7B9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file:///C:\Users\Tatiana\AppData\Roaming\Microsoft\Word\Zalacznik3.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Tatiana\AppData\Roaming\Microsoft\Word\Zalacznik2.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file:///C:\Users\Tatiana\AppData\Roaming\Microsoft\Word\Zalacznik1.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14</Pages>
  <Words>3615</Words>
  <Characters>21692</Characters>
  <Application>Microsoft Office Word</Application>
  <DocSecurity>0</DocSecurity>
  <Lines>180</Lines>
  <Paragraphs>50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Uchwała nr  360/XXIII/25 z dnia 30 grudnia 2025 r.</vt:lpstr>
      <vt:lpstr/>
    </vt:vector>
  </TitlesOfParts>
  <Company>Rada Miejska Węglińca</Company>
  <LinksUpToDate>false</LinksUpToDate>
  <CharactersWithSpaces>25257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360/XXIII/25 z dnia 30 grudnia 2025 r.</dc:title>
  <dc:subject>w sprawie  przyjęcia Wieloletniej Prognozy Finansowej Gminy i^Miasta Węgliniec</dc:subject>
  <dc:creator>Tatiana</dc:creator>
  <cp:keywords/>
  <dc:description/>
  <cp:lastModifiedBy>Tatiana</cp:lastModifiedBy>
  <cp:revision>1</cp:revision>
  <dcterms:created xsi:type="dcterms:W3CDTF">2026-01-08T13:43:00Z</dcterms:created>
  <dcterms:modified xsi:type="dcterms:W3CDTF">2026-01-09T06:48:00Z</dcterms:modified>
  <cp:category>Akt prawny</cp:category>
</cp:coreProperties>
</file>