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77B3E" w:rsidRDefault="00000000">
      <w:pPr>
        <w:jc w:val="center"/>
        <w:rPr>
          <w:b/>
          <w:caps/>
        </w:rPr>
      </w:pPr>
      <w:r>
        <w:rPr>
          <w:b/>
          <w:caps/>
        </w:rPr>
        <w:t>Uchwała nr 362/XXIII/2025</w:t>
      </w:r>
      <w:r>
        <w:rPr>
          <w:b/>
          <w:caps/>
        </w:rPr>
        <w:br/>
        <w:t>Rady Miejskiej Węglińca</w:t>
      </w:r>
    </w:p>
    <w:p w:rsidR="00A77B3E" w:rsidRDefault="00000000">
      <w:pPr>
        <w:spacing w:before="280" w:after="280"/>
        <w:jc w:val="center"/>
        <w:rPr>
          <w:b/>
          <w:caps/>
        </w:rPr>
      </w:pPr>
      <w:r>
        <w:t>z dnia 30 grudnia 2025 r.</w:t>
      </w:r>
    </w:p>
    <w:p w:rsidR="00A77B3E" w:rsidRDefault="00000000">
      <w:pPr>
        <w:keepNext/>
        <w:spacing w:after="480"/>
        <w:jc w:val="center"/>
      </w:pPr>
      <w:r>
        <w:rPr>
          <w:b/>
        </w:rPr>
        <w:t>w sprawie udzielenie dotacji celowej dla Gminy Miejskiej Bolesławiec na dofinansowanie kosztów funkcjonowania Biura Zintegrowanych Inwestycji Terytorialnych Zachodniego  Obszaru Funkcjonalnego w 2026 roku</w:t>
      </w:r>
    </w:p>
    <w:p w:rsidR="00A77B3E" w:rsidRDefault="00000000">
      <w:pPr>
        <w:keepLines/>
        <w:spacing w:before="120" w:after="120"/>
        <w:ind w:firstLine="227"/>
      </w:pPr>
      <w:r>
        <w:t>Na podstawie art. 10 ust. 2 i art. 18 ust. 2 pkt 15 ustawy z dnia 8 marca 1990 r. o samorządzie gminnym (Dz.U. z 2025 poz. 1153 z </w:t>
      </w:r>
      <w:proofErr w:type="spellStart"/>
      <w:r>
        <w:t>późn</w:t>
      </w:r>
      <w:proofErr w:type="spellEnd"/>
      <w:r>
        <w:t>. zm.), art. 216 ust.2 pkt 3 i 220 ust. 1 i 2 ustawy z dnia 27 sierpnia 2009 r. o finansach publicznych (Dz. U. z 2025 r. poz. 1483) oraz art. 47 ustawy z dnia 13 listopada 2003 r. o dochodach jednostek samorządu terytorialnego (Dz.U. z 2024 r. poz. 1572 z </w:t>
      </w:r>
      <w:proofErr w:type="spellStart"/>
      <w:r>
        <w:t>późn</w:t>
      </w:r>
      <w:proofErr w:type="spellEnd"/>
      <w:r>
        <w:t>. zm.) Rada Miejska Węglińca uchwala, co następuje:</w:t>
      </w:r>
    </w:p>
    <w:p w:rsidR="00A77B3E" w:rsidRDefault="00000000">
      <w:pPr>
        <w:keepLines/>
        <w:spacing w:before="120" w:after="120"/>
        <w:ind w:firstLine="340"/>
      </w:pPr>
      <w:r>
        <w:rPr>
          <w:b/>
        </w:rPr>
        <w:t>§ 1. </w:t>
      </w:r>
      <w:r>
        <w:t>Na podstawie Porozumienia Międzygminnego pomiędzy Gminą i Miastem Węgliniec a Gminami i Powiatami tworzącymi Zintegrowane Inwestycje Terytorialne Zachodniego  Obszaru Funkcjonalnego (ZIT ZOF), wydzielania na ten cel odpowiedniego majątku oraz opracowania dokumentu strategicznego Zintegrowanych Inwestycji Terytorialnych Zachodniego Obszaru Funkcjonalnego na lata 2021 – 2027, zwanego Strategią Rozwoju ZIT ZOF, podpisanego w dniu 12 lipca 2023r. udziela się z budżetu Gminy Węgliniec pomoc finansową Gminie Miejskiej Bolesławiec na dofinansowanie kosztów funkcjonowania Biura Zintegrowanych Inwestycji Terytorialnych Zachodniego  Obszaru Funkcjonalnego w 2026 roku.</w:t>
      </w:r>
    </w:p>
    <w:p w:rsidR="00A77B3E" w:rsidRDefault="00000000">
      <w:pPr>
        <w:keepLines/>
        <w:spacing w:before="120" w:after="120"/>
        <w:ind w:firstLine="340"/>
      </w:pPr>
      <w:r>
        <w:rPr>
          <w:b/>
        </w:rPr>
        <w:t>§ 2. </w:t>
      </w:r>
      <w:r>
        <w:t>Pomoc finansowa, o której mowa w § 1, zostanie udzielona w formie dotacji celowej ze środków budżetu na 2026r., w wysokości 21 320,00 zł.</w:t>
      </w:r>
    </w:p>
    <w:p w:rsidR="00A77B3E" w:rsidRDefault="00000000">
      <w:pPr>
        <w:keepLines/>
        <w:spacing w:before="120" w:after="120"/>
        <w:ind w:firstLine="340"/>
        <w:rPr>
          <w:color w:val="000000"/>
          <w:u w:color="000000"/>
        </w:rPr>
      </w:pPr>
      <w:r>
        <w:rPr>
          <w:b/>
        </w:rPr>
        <w:t>§ 3. </w:t>
      </w:r>
      <w:r>
        <w:t>1. Szczegółowe warunki udzielania pomocy finansowej oraz przeznaczenie i zasady rozliczenia środków określone zostaną w umowie pomiędzy Gminą Węgliniec a Gminą Miejską Bolesławiec.</w:t>
      </w:r>
    </w:p>
    <w:p w:rsidR="00A77B3E" w:rsidRDefault="00000000">
      <w:pPr>
        <w:keepLines/>
        <w:spacing w:before="120" w:after="120"/>
        <w:ind w:firstLine="340"/>
        <w:rPr>
          <w:color w:val="000000"/>
          <w:u w:color="000000"/>
        </w:rPr>
      </w:pPr>
      <w:r>
        <w:t>2. </w:t>
      </w:r>
      <w:r>
        <w:rPr>
          <w:color w:val="000000"/>
          <w:u w:color="000000"/>
        </w:rPr>
        <w:t>Do zawarcia umowy upoważnia się Burmistrza Gminy i Miasta Węgliniec.</w:t>
      </w:r>
    </w:p>
    <w:p w:rsidR="00A77B3E" w:rsidRDefault="00000000">
      <w:pPr>
        <w:keepLines/>
        <w:spacing w:before="120" w:after="120"/>
        <w:ind w:firstLine="340"/>
        <w:rPr>
          <w:color w:val="000000"/>
          <w:u w:color="000000"/>
        </w:rPr>
      </w:pPr>
      <w:r>
        <w:rPr>
          <w:b/>
        </w:rPr>
        <w:t>§ 4. </w:t>
      </w:r>
      <w:r>
        <w:rPr>
          <w:color w:val="000000"/>
          <w:u w:color="000000"/>
        </w:rPr>
        <w:t>Wykonanie uchwały powierza się Burmistrzowi Gminy i Miasta Węgliniec.</w:t>
      </w:r>
    </w:p>
    <w:p w:rsidR="00A77B3E" w:rsidRDefault="00000000">
      <w:pPr>
        <w:keepNext/>
        <w:keepLines/>
        <w:spacing w:before="120" w:after="120"/>
        <w:ind w:firstLine="340"/>
        <w:rPr>
          <w:color w:val="000000"/>
          <w:u w:color="000000"/>
        </w:rPr>
      </w:pPr>
      <w:r>
        <w:rPr>
          <w:b/>
        </w:rPr>
        <w:t>§ 5. </w:t>
      </w:r>
      <w:r>
        <w:rPr>
          <w:color w:val="000000"/>
          <w:u w:color="000000"/>
        </w:rPr>
        <w:t>Uchwała wchodzi w życie z dniem podjęcia.</w:t>
      </w:r>
    </w:p>
    <w:p w:rsidR="00A77B3E" w:rsidRDefault="00A77B3E">
      <w:pPr>
        <w:keepNext/>
        <w:keepLines/>
        <w:spacing w:before="120" w:after="120"/>
        <w:ind w:firstLine="340"/>
        <w:rPr>
          <w:color w:val="000000"/>
          <w:u w:color="000000"/>
        </w:rPr>
      </w:pPr>
    </w:p>
    <w:p w:rsidR="00A77B3E" w:rsidRDefault="00000000">
      <w:pPr>
        <w:keepNext/>
        <w:rPr>
          <w:color w:val="000000"/>
          <w:u w:color="000000"/>
        </w:rPr>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E74503">
        <w:tc>
          <w:tcPr>
            <w:tcW w:w="2500" w:type="pct"/>
            <w:tcMar>
              <w:top w:w="0" w:type="dxa"/>
              <w:left w:w="0" w:type="dxa"/>
              <w:bottom w:w="0" w:type="dxa"/>
              <w:right w:w="0" w:type="dxa"/>
            </w:tcMar>
            <w:hideMark/>
          </w:tcPr>
          <w:p w:rsidR="00E74503" w:rsidRDefault="00E74503">
            <w:pPr>
              <w:keepNext/>
              <w:keepLines/>
              <w:jc w:val="left"/>
              <w:rPr>
                <w:color w:val="000000"/>
                <w:szCs w:val="22"/>
              </w:rPr>
            </w:pPr>
          </w:p>
        </w:tc>
        <w:tc>
          <w:tcPr>
            <w:tcW w:w="2500" w:type="pct"/>
            <w:tcMar>
              <w:top w:w="0" w:type="dxa"/>
              <w:left w:w="0" w:type="dxa"/>
              <w:bottom w:w="0" w:type="dxa"/>
              <w:right w:w="0" w:type="dxa"/>
            </w:tcMar>
            <w:hideMark/>
          </w:tcPr>
          <w:p w:rsidR="00E74503" w:rsidRDefault="00000000">
            <w:pPr>
              <w:keepNext/>
              <w:keepLines/>
              <w:spacing w:before="560" w:after="560"/>
              <w:ind w:left="1134" w:right="1134"/>
              <w:jc w:val="center"/>
              <w:rPr>
                <w:color w:val="000000"/>
                <w:szCs w:val="22"/>
              </w:rPr>
            </w:pPr>
            <w:r>
              <w:rPr>
                <w:color w:val="000000"/>
                <w:szCs w:val="22"/>
              </w:rPr>
              <w:t>Przewodniczący Rady</w:t>
            </w:r>
            <w:r>
              <w:rPr>
                <w:color w:val="000000"/>
                <w:szCs w:val="22"/>
              </w:rPr>
              <w:br/>
            </w:r>
            <w:r>
              <w:rPr>
                <w:color w:val="000000"/>
                <w:szCs w:val="22"/>
              </w:rPr>
              <w:br/>
            </w:r>
            <w:r>
              <w:rPr>
                <w:color w:val="000000"/>
                <w:szCs w:val="22"/>
              </w:rPr>
              <w:br/>
            </w:r>
            <w:r>
              <w:rPr>
                <w:b/>
              </w:rPr>
              <w:t>Marek Wawrzynek</w:t>
            </w:r>
          </w:p>
        </w:tc>
      </w:tr>
    </w:tbl>
    <w:p w:rsidR="00A77B3E" w:rsidRDefault="00A77B3E">
      <w:pPr>
        <w:keepNext/>
        <w:rPr>
          <w:color w:val="000000"/>
          <w:u w:color="000000"/>
        </w:rPr>
        <w:sectPr w:rsidR="00A77B3E">
          <w:footerReference w:type="default" r:id="rId6"/>
          <w:endnotePr>
            <w:numFmt w:val="decimal"/>
          </w:endnotePr>
          <w:pgSz w:w="11906" w:h="16838"/>
          <w:pgMar w:top="992" w:right="1020" w:bottom="992" w:left="1020" w:header="708" w:footer="708" w:gutter="0"/>
          <w:cols w:space="708"/>
          <w:docGrid w:linePitch="360"/>
        </w:sectPr>
      </w:pPr>
    </w:p>
    <w:p w:rsidR="00E74503" w:rsidRDefault="00E74503">
      <w:pPr>
        <w:jc w:val="left"/>
        <w:rPr>
          <w:color w:val="000000"/>
          <w:szCs w:val="20"/>
          <w:shd w:val="clear" w:color="auto" w:fill="FFFFFF"/>
          <w:lang w:val="x-none" w:eastAsia="en-US" w:bidi="ar-SA"/>
        </w:rPr>
      </w:pPr>
    </w:p>
    <w:p w:rsidR="00E74503" w:rsidRDefault="00000000">
      <w:pPr>
        <w:spacing w:line="360" w:lineRule="auto"/>
        <w:jc w:val="center"/>
        <w:rPr>
          <w:b/>
          <w:caps/>
          <w:color w:val="000000"/>
          <w:szCs w:val="20"/>
          <w:shd w:val="clear" w:color="auto" w:fill="FFFFFF"/>
          <w:lang w:val="x-none" w:eastAsia="en-US" w:bidi="ar-SA"/>
        </w:rPr>
      </w:pPr>
      <w:r>
        <w:rPr>
          <w:b/>
          <w:caps/>
          <w:color w:val="000000"/>
          <w:szCs w:val="20"/>
          <w:shd w:val="clear" w:color="auto" w:fill="FFFFFF"/>
          <w:lang w:val="x-none" w:eastAsia="en-US" w:bidi="ar-SA"/>
        </w:rPr>
        <w:t>uzasadnienie</w:t>
      </w:r>
    </w:p>
    <w:p w:rsidR="00E74503" w:rsidRDefault="00E74503">
      <w:pPr>
        <w:jc w:val="left"/>
        <w:rPr>
          <w:color w:val="000000"/>
          <w:szCs w:val="20"/>
          <w:shd w:val="clear" w:color="auto" w:fill="FFFFFF"/>
          <w:lang w:val="x-none" w:eastAsia="en-US" w:bidi="ar-SA"/>
        </w:rPr>
      </w:pPr>
    </w:p>
    <w:p w:rsidR="00E74503" w:rsidRDefault="00E74503">
      <w:pPr>
        <w:rPr>
          <w:color w:val="000000"/>
          <w:szCs w:val="20"/>
          <w:shd w:val="clear" w:color="auto" w:fill="FFFFFF"/>
          <w:lang w:val="x-none" w:eastAsia="en-US" w:bidi="ar-SA"/>
        </w:rPr>
      </w:pPr>
    </w:p>
    <w:p w:rsidR="00E74503" w:rsidRDefault="00000000">
      <w:pPr>
        <w:rPr>
          <w:color w:val="000000"/>
          <w:szCs w:val="20"/>
          <w:shd w:val="clear" w:color="auto" w:fill="FFFFFF"/>
          <w:lang w:val="x-none" w:eastAsia="en-US" w:bidi="ar-SA"/>
        </w:rPr>
      </w:pPr>
      <w:r>
        <w:rPr>
          <w:color w:val="000000"/>
          <w:szCs w:val="20"/>
          <w:shd w:val="clear" w:color="auto" w:fill="FFFFFF"/>
        </w:rPr>
        <w:t xml:space="preserve">    </w:t>
      </w:r>
      <w:r>
        <w:rPr>
          <w:color w:val="000000"/>
          <w:szCs w:val="20"/>
          <w:shd w:val="clear" w:color="auto" w:fill="FFFFFF"/>
          <w:lang w:val="x-none" w:eastAsia="en-US" w:bidi="ar-SA"/>
        </w:rPr>
        <w:t xml:space="preserve">  Zgodnie z uchwałą nr 1013/LXI/23 Rady Miejskiej Węglińca z dnia 16 marca 2023 r. w sprawie wyrażenia zgody na zawarcie Porozumienia Międzygminnego pomiędzy Gminą i Miastem Węgliniec a Gminami i Powiatami tworzącymi Zintegrowane Inwestycje Terytorialne Zachodniego Obszaru Integracji (ZIT ZOI), wydzielania na ten cel odpowiedniego majątku oraz opracowania dokumentu strategicznego Zintegrowanych Inwestycji Terytorialnych Zachodniego Obszaru Integracji na lata 2021 – 2027, zwanego Strategią Rozwoju ZIT ZOI, w dniu 12 lipca 2023r. zostało podpisane Porozumienie w sprawie zasad współpracy Stron Porozumienia przy wdrażaniu, finansowaniu, ewaluacji i koordynowaniu wspólnych przedsięwzięć, bieżącej obsłudze i rozliczeniach Zintegrowanych Inwestycji Terytorialnych Zachodniego Obszaru Funkcjonalnego oraz powierzenia Gminie Miejskiej Bolesławiec zarządzania Zintegrowanymi Inwestycjami Terytorialnymi Zachodniego Obszaru Funkcjonalnego. Zmiana nazwy "Zintegrowane Inwestycje Terytorialne Zachodniego Obszaru Integracji" na "Zintegrowane Inwestycje Terytorialne Zachodniego Obszaru Funkcjonalnego" nastąpiła w związku z wytycznymi Instytucji Zarządzającej FEDS 2021-2027. </w:t>
      </w:r>
    </w:p>
    <w:p w:rsidR="00E74503" w:rsidRDefault="00E74503">
      <w:pPr>
        <w:rPr>
          <w:color w:val="000000"/>
          <w:szCs w:val="20"/>
          <w:shd w:val="clear" w:color="auto" w:fill="FFFFFF"/>
          <w:lang w:val="x-none" w:eastAsia="en-US" w:bidi="ar-SA"/>
        </w:rPr>
      </w:pPr>
    </w:p>
    <w:p w:rsidR="00E74503" w:rsidRDefault="00000000">
      <w:pPr>
        <w:rPr>
          <w:color w:val="000000"/>
          <w:szCs w:val="20"/>
          <w:shd w:val="clear" w:color="auto" w:fill="FFFFFF"/>
          <w:lang w:val="x-none" w:eastAsia="en-US" w:bidi="ar-SA"/>
        </w:rPr>
      </w:pPr>
      <w:r>
        <w:rPr>
          <w:color w:val="000000"/>
          <w:szCs w:val="20"/>
          <w:shd w:val="clear" w:color="auto" w:fill="FFFFFF"/>
          <w:lang w:val="x-none" w:eastAsia="en-US" w:bidi="ar-SA"/>
        </w:rPr>
        <w:t xml:space="preserve">      W § 7 ust. 5 w/w porozumienia, strony uzgodniły, że funkcjonowanie Biura Zintegrowanych Inwestycji Terytorialnych Zachodniego  Obszaru Funkcjonalnego będzie  finansowane m.in. z wkładu gmin i powiatów gwarantowanego przez strony porozumienia, w wysokości ustalonej indywidualnie dla każdej z gmin i powiatów. Zgodnie z załącznikiem do w/w porozumienia Gmina Węgliniec zobowiązała się do przekazania dotacji celowej na dofinansowanie kosztów funkcjonowania biura w wysokości 3,28% ogólnej kwoty kosztów, ustalonej przez Gminę Miejską Bolesław</w:t>
      </w:r>
      <w:r w:rsidR="00822AAD">
        <w:rPr>
          <w:color w:val="000000"/>
          <w:szCs w:val="20"/>
          <w:shd w:val="clear" w:color="auto" w:fill="FFFFFF"/>
          <w:lang w:val="x-none" w:eastAsia="en-US" w:bidi="ar-SA"/>
        </w:rPr>
        <w:t>i</w:t>
      </w:r>
      <w:r>
        <w:rPr>
          <w:color w:val="000000"/>
          <w:szCs w:val="20"/>
          <w:shd w:val="clear" w:color="auto" w:fill="FFFFFF"/>
          <w:lang w:val="x-none" w:eastAsia="en-US" w:bidi="ar-SA"/>
        </w:rPr>
        <w:t xml:space="preserve">ec. </w:t>
      </w:r>
    </w:p>
    <w:p w:rsidR="00E74503" w:rsidRDefault="00E74503">
      <w:pPr>
        <w:rPr>
          <w:color w:val="000000"/>
          <w:szCs w:val="20"/>
          <w:u w:color="000000"/>
          <w:shd w:val="clear" w:color="auto" w:fill="FFFFFF"/>
          <w:lang w:val="x-none" w:eastAsia="en-US" w:bidi="ar-SA"/>
        </w:rPr>
      </w:pPr>
    </w:p>
    <w:p w:rsidR="00E74503" w:rsidRDefault="00000000">
      <w:pPr>
        <w:rPr>
          <w:color w:val="000000"/>
          <w:szCs w:val="20"/>
          <w:shd w:val="clear" w:color="auto" w:fill="FFFFFF"/>
          <w:lang w:val="x-none" w:eastAsia="en-US" w:bidi="ar-SA"/>
        </w:rPr>
      </w:pPr>
      <w:r>
        <w:rPr>
          <w:color w:val="000000"/>
          <w:szCs w:val="20"/>
          <w:u w:color="000000"/>
          <w:shd w:val="clear" w:color="auto" w:fill="FFFFFF"/>
        </w:rPr>
        <w:t xml:space="preserve">  </w:t>
      </w:r>
      <w:r>
        <w:rPr>
          <w:color w:val="000000"/>
          <w:szCs w:val="20"/>
          <w:shd w:val="clear" w:color="auto" w:fill="FFFFFF"/>
          <w:lang w:val="x-none" w:eastAsia="en-US" w:bidi="ar-SA"/>
        </w:rPr>
        <w:t xml:space="preserve">    Szczegółowe ustalenia i warunki przekazania dotacji wsparcia zostaną zawarte w umowie o udzielenie dotacji celowej.</w:t>
      </w:r>
    </w:p>
    <w:p w:rsidR="00E74503" w:rsidRDefault="00E74503">
      <w:pPr>
        <w:rPr>
          <w:color w:val="000000"/>
          <w:szCs w:val="20"/>
          <w:shd w:val="clear" w:color="auto" w:fill="FFFFFF"/>
          <w:lang w:val="x-none" w:eastAsia="en-US" w:bidi="ar-SA"/>
        </w:rPr>
      </w:pPr>
    </w:p>
    <w:sectPr w:rsidR="00E74503">
      <w:footerReference w:type="default" r:id="rId7"/>
      <w:pgSz w:w="11907" w:h="16839" w:code="9"/>
      <w:pgMar w:top="1440" w:right="862"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82825" w:rsidRDefault="00682825">
      <w:r>
        <w:separator/>
      </w:r>
    </w:p>
  </w:endnote>
  <w:endnote w:type="continuationSeparator" w:id="0">
    <w:p w:rsidR="00682825" w:rsidRDefault="00682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E74503">
      <w:tc>
        <w:tcPr>
          <w:tcW w:w="6577" w:type="dxa"/>
          <w:tcBorders>
            <w:top w:val="single" w:sz="4" w:space="0" w:color="auto"/>
            <w:left w:val="nil"/>
            <w:bottom w:val="nil"/>
            <w:right w:val="nil"/>
          </w:tcBorders>
          <w:tcMar>
            <w:top w:w="100" w:type="dxa"/>
            <w:left w:w="0" w:type="dxa"/>
            <w:bottom w:w="0" w:type="dxa"/>
            <w:right w:w="0" w:type="dxa"/>
          </w:tcMar>
          <w:hideMark/>
        </w:tcPr>
        <w:p w:rsidR="00E74503" w:rsidRDefault="00000000">
          <w:pPr>
            <w:jc w:val="left"/>
            <w:rPr>
              <w:sz w:val="18"/>
            </w:rPr>
          </w:pPr>
          <w:r>
            <w:rPr>
              <w:sz w:val="18"/>
            </w:rPr>
            <w:t>Id: B8595F8D-EB7E-4699-885B-C41CE73A31DF. Podpisany</w:t>
          </w:r>
        </w:p>
      </w:tc>
      <w:tc>
        <w:tcPr>
          <w:tcW w:w="3289" w:type="dxa"/>
          <w:tcBorders>
            <w:top w:val="single" w:sz="4" w:space="0" w:color="auto"/>
            <w:left w:val="nil"/>
            <w:bottom w:val="nil"/>
            <w:right w:val="nil"/>
          </w:tcBorders>
          <w:tcMar>
            <w:top w:w="100" w:type="dxa"/>
            <w:left w:w="0" w:type="dxa"/>
            <w:bottom w:w="0" w:type="dxa"/>
            <w:right w:w="0" w:type="dxa"/>
          </w:tcMar>
          <w:hideMark/>
        </w:tcPr>
        <w:p w:rsidR="00E74503"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822AAD">
            <w:rPr>
              <w:noProof/>
              <w:sz w:val="18"/>
            </w:rPr>
            <w:t>1</w:t>
          </w:r>
          <w:r>
            <w:rPr>
              <w:sz w:val="18"/>
            </w:rPr>
            <w:fldChar w:fldCharType="end"/>
          </w:r>
        </w:p>
      </w:tc>
    </w:tr>
  </w:tbl>
  <w:p w:rsidR="00E74503" w:rsidRDefault="00E74503">
    <w:pP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03"/>
      <w:gridCol w:w="3202"/>
    </w:tblGrid>
    <w:tr w:rsidR="00E74503">
      <w:tc>
        <w:tcPr>
          <w:tcW w:w="6403" w:type="dxa"/>
          <w:tcBorders>
            <w:top w:val="single" w:sz="4" w:space="0" w:color="auto"/>
            <w:left w:val="nil"/>
            <w:bottom w:val="nil"/>
            <w:right w:val="nil"/>
          </w:tcBorders>
          <w:tcMar>
            <w:top w:w="100" w:type="dxa"/>
            <w:left w:w="0" w:type="dxa"/>
            <w:bottom w:w="0" w:type="dxa"/>
            <w:right w:w="0" w:type="dxa"/>
          </w:tcMar>
          <w:hideMark/>
        </w:tcPr>
        <w:p w:rsidR="00E74503" w:rsidRDefault="00000000">
          <w:pPr>
            <w:jc w:val="left"/>
            <w:rPr>
              <w:sz w:val="18"/>
            </w:rPr>
          </w:pPr>
          <w:r>
            <w:rPr>
              <w:sz w:val="18"/>
            </w:rPr>
            <w:t>Id: B8595F8D-EB7E-4699-885B-C41CE73A31DF. Podpisany</w:t>
          </w:r>
        </w:p>
      </w:tc>
      <w:tc>
        <w:tcPr>
          <w:tcW w:w="3202" w:type="dxa"/>
          <w:tcBorders>
            <w:top w:val="single" w:sz="4" w:space="0" w:color="auto"/>
            <w:left w:val="nil"/>
            <w:bottom w:val="nil"/>
            <w:right w:val="nil"/>
          </w:tcBorders>
          <w:tcMar>
            <w:top w:w="100" w:type="dxa"/>
            <w:left w:w="0" w:type="dxa"/>
            <w:bottom w:w="0" w:type="dxa"/>
            <w:right w:w="0" w:type="dxa"/>
          </w:tcMar>
          <w:hideMark/>
        </w:tcPr>
        <w:p w:rsidR="00E74503"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822AAD">
            <w:rPr>
              <w:noProof/>
              <w:sz w:val="18"/>
            </w:rPr>
            <w:t>2</w:t>
          </w:r>
          <w:r>
            <w:rPr>
              <w:sz w:val="18"/>
            </w:rPr>
            <w:fldChar w:fldCharType="end"/>
          </w:r>
        </w:p>
      </w:tc>
    </w:tr>
  </w:tbl>
  <w:p w:rsidR="00E74503" w:rsidRDefault="00E74503">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82825" w:rsidRDefault="00682825">
      <w:r>
        <w:separator/>
      </w:r>
    </w:p>
  </w:footnote>
  <w:footnote w:type="continuationSeparator" w:id="0">
    <w:p w:rsidR="00682825" w:rsidRDefault="006828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682825"/>
    <w:rsid w:val="00822AAD"/>
    <w:rsid w:val="009673AF"/>
    <w:rsid w:val="00A77B3E"/>
    <w:rsid w:val="00CA2A55"/>
    <w:rsid w:val="00E745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A57CDF"/>
  <w15:docId w15:val="{F1329E02-EFCC-47C5-8DB5-DFE2757E6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548</Words>
  <Characters>3291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Rada Miejska Węglińca</Company>
  <LinksUpToDate>false</LinksUpToDate>
  <CharactersWithSpaces>3832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362/XXIII/2025 z dnia 30 grudnia 2025 r.</dc:title>
  <dc:subject>w sprawie udzielenie dotacji celowej dla Gminy Miejskiej Bolesławiec na dofinansowanie kosztów funkcjonowania Biura Zintegrowanych Inwestycji Terytorialnych Zachodniego  Obszaru Funkcjonalnego w^2026 roku</dc:subject>
  <dc:creator>Tatiana</dc:creator>
  <cp:lastModifiedBy>Tatiana</cp:lastModifiedBy>
  <cp:revision>2</cp:revision>
  <dcterms:created xsi:type="dcterms:W3CDTF">2026-01-09T09:54:00Z</dcterms:created>
  <dcterms:modified xsi:type="dcterms:W3CDTF">2026-01-09T08:54:00Z</dcterms:modified>
  <cp:category>Akt prawny</cp:category>
</cp:coreProperties>
</file>