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371/XXIV/2026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stycznia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odwołania Skarbnika Gminy i Miasta Węgliniec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pkt. 3 ustawy z dnia 8 marca 1990 r. o samorządzie gminnym (t.j. Dz.U. z 2025 r. poz. 1153) Rada Miejska Węglińca, na wniosek Burmistrza Gminy i Miasta Węgliniec, uchwala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Odwołuje się Panią Jolantę Zawisza ze stanowiska Skarbnika Gminy i Miasta Węgliniec z dniem 31.01.2026 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</w:tblPrEx>
        <w:trPr>
          <w:trHeight w:hRule="auto" w:val="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2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W dniu 31 grudnia 2025 r. Pani Jolanta Zawisza Skarbnik Gminy i Miasta Węgliniec, złożyła wniosek o rozwiązanie stosunku pracy.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Wobec powyższego Burmistrz Gminy i Miasta Węgliniec realizując treść art. 18 ust. 2 pkt. 3 ustawy z dnia 8 marca 1990 r. o samorządzie gminnym (t.j. Dz.U. z 2025 r. poz. 1153), złożył wniosek do Rady Miejskiej Węglińca o odwołanie Pani Jolanty Zawisza ze stanowiska Skarbnika Gminy i Miasta Węgliniec. Niniejsza uchwała stanowi konieczną przesłankę do zakończenia stosunku pracy pomiędzy Urzędem Gminy i Miasta w Węglińcu, a Skarbnikiem Gminy i Miasta Węgliniec Panią Jolantą Zawisza.</w:t>
      </w: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56060D69-2A1F-4C98-B5B2-F6F6EF3857A3.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371/XXIV/2026 z dnia 30 stycznia 2026 r.</dc:title>
  <dc:subject>w sprawie odwołania Skarbnika Gminy i^Miasta Węgliniec</dc:subject>
  <dc:creator>Tatiana</dc:creator>
  <cp:lastModifiedBy>Tatiana</cp:lastModifiedBy>
  <cp:revision>1</cp:revision>
  <dcterms:created xsi:type="dcterms:W3CDTF">2026-02-04T13:38:02Z</dcterms:created>
  <dcterms:modified xsi:type="dcterms:W3CDTF">2026-02-04T13:38:02Z</dcterms:modified>
  <cp:category>Akt prawny</cp:category>
</cp:coreProperties>
</file>