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378/XXV/2026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lutego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rozpatrzenia skargi na Burmistrza Gminy i Miasta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15 ustawy z dnia 8 marca 1990 r. o samorządzie gminnym (t.j. Dz. U. z 2025 r. poz. 1153 ze zm.) oraz art. 229 pkt 3 w związku z art. 221 ustawy z dnia 14 czerwca 1960 r. Kodeks postępowania administracyjnego (t.j. Dz. U. z 2025 r. poz. 1691) Rada Miejska Węglińca uchwala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Uznaje za bezzasadną skargę złożoną w dniu 27 stycznia 2026 r. przez mieszkańca Gminy Węgliniec na Burmistrza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Uzasadnienie stanowi integralną część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Zobowiązuje się Przewodniczącego Rady do zawiadomienia skarżącego o sposobie załatwienia skargi.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Pismem z dnia 27 stycznia 2026 r. Pan Wiktor Zator wniósł skargę na Burmistrza Gminy i Miasta Węgliniec. Komisja Skarg Wniosków i Petycji na posiedzeniu w dniu 24 lutego 2026 r. wobec tak sformułowanych zarzutów przeprowadziła postępowanie wyjaśniające z następującym ustaleniem.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Pan Wiktor Zator kilkukrotnie składał do Urzędu pisma dotyczące statusu ul. Ogrodowej (łącznik pomiędzy ul. Wojska Polskiego, a ul. Partyzantów), na które otrzymywał odpowiedzi z wyjaśnieniami stanu faktycznego oraz prawnego, oraz dotychczasowymi działaniami organu wykonawczego.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Zgodnie z art. 7 ust. 1 pkt 2 ustawy o samorządzie gminnym, zaspokajanie zbiorowych potrzeb wspólnoty w zakresie dróg gminnych należy do zadań własnych gminy. Niemniej jednak, realizacja tych zadań musi odbywać się w granicach wyznaczonych przez ustawę o finansach publicznych, w szczególności przez zasadę celowości, oszczędności i efektywności wydatkowania środków (art. 44 ust. 3).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Obecny stan prawny nieruchomości w obrębie ul. Ogrodowej oraz jej ograniczona parametryzacja techniczna stanowią istotną barierę formalną. Wydatkowanie środków na modernizację drogi o nieuregulowanym stanie własnościowym mogłoby zostać uznane za naruszenie dyscypliny finansów publicznych.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 procesie planowania inwestycyjnego organ wykonawczy kieruje się hierarchią potrzeb całej wspólnoty samorządowej, a nie partykularnymi oczekiwaniami jednostek. Od 2020 roku Gmina skoncentrowała swój potencjał wykonawczy na kluczowych inwestycjach o charakterze strategicznym, takich jak przebudowy głównych ciągów komunikacyjnych miasta. Inwestycje te, w przeciwieństwie do dróg o charakterze dojazdowym i lokalnym: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·zapewniają płynność ruchu dla tysięcy mieszkańców,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·stanowią trzon transportu zbiorowego i dróg ratunkowych,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·spełniały surowe kryteria punktowe, pozwalające na pozyskanie wielomilionowych dofinansowań zewnętrznych.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Należy zauważyć, że postulat modernizacji ul. Ogrodowej (łącznik pomiędzy ul. Wojska Polskiego, a ul. Partyzantów) jest podnoszony w sposób powtarzalny, pomimo wielokrotnych wyjaśnień dotyczących braku formalnych i ekonomicznych przesłanek do nadania tej sprawie biegu priorytetowego. Przy ograniczonej liczbie beneficjentów w zestawieniu z nakładami koniecznymi na uregulowanie stanów prawnych i przebudowę, realizacja tego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obecnej chwili naruszałaby zasadę proporcjonalności i sprawiedliwości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dysponowaniu budżetem gminy.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Urząd Gminy i Miasta nie może ulegać presji częstego składania wniosków o analogicznej treści, jeśli nie uległy zmianie obiektywne okoliczności faktyczne lub prawne. Działania te angażują aparat urzędniczy w sposób nieproporcjonalny do wagi problemu, odciągając zasoby od zadań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kluczowym znaczeniu dla ogółu mieszkańców.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Mając powyższe na uwadze Komisja Skarg Wniosków i Petycji Rady Miejskiej Węglińca stwierdza, że zarzuty o zaniechaniu są bezzasadne. Gmina podejmuje działania w skali i tempie dostosowanym do realnych możliwości finansowych oraz wymogów prawnych, priorytetyzując inwestycje o największym znaczeniu społecznym, w związku z tym proponuje uznać skargę za bezzasadną.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 xml:space="preserve">Rada Miejska Węglińca, po zapoznaniu się z treścią skargi, wyjaśnieniami oraz stanowiskiem Komisji Skarg, Wniosków i Petycji postanowiła uznać skargę za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bezzasadną.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Informuje się skarżącego, że zgodnie z art. 239 k.p.a., przypadku, gdy skarga w wyniku jej rozpatrzenia, została uznana za bezzasadną i jej bezzasadność wykazano w odpowiedzi na skargę, a skarżący ponowił skargę bez wskazania nowych okoliczności – organ właściwy do jej rozpatrzenia może podtrzymać swoje poprzednie stanowisko z odpowiednią adnotacją w aktach sprawy – bez zawiadamiania skarżącego.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787FEECB-AD70-4807-8DC7-2432CCDC931E.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378/XXV/2026 z dnia 27 lutego 2026 r.</dc:title>
  <dc:subject>w sprawie rozpatrzenia skargi na Burmistrza Gminy i^Miasta Węgliniec</dc:subject>
  <dc:creator>Tatiana</dc:creator>
  <cp:lastModifiedBy>Tatiana</cp:lastModifiedBy>
  <cp:revision>1</cp:revision>
  <dcterms:created xsi:type="dcterms:W3CDTF">2026-03-04T13:58:01Z</dcterms:created>
  <dcterms:modified xsi:type="dcterms:W3CDTF">2026-03-04T13:58:01Z</dcterms:modified>
  <cp:category>Akt prawny</cp:category>
</cp:coreProperties>
</file>