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398/XXIX/2026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29 czerwca 2026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udzielenia Burmistrzowi Gminy i Miasta Węgliniec wotum zaufania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18 ust. 2 pkt 4a i art. 28aa ust. 9 ustawy z dnia 8 marca 1990 r. o samorządzie gminnym (Dz.U. z 2026 r. poz. 662) Rada Miejska Węglińca po rozpatrzeniu Raportu o stanie Gminy Węgliniec za 2025 rok oraz przeprowadzeniu debaty nad przedstawionym raportem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Udziela się Burmistrzowi Gminy i Miasta Węgliniec wotum zaufania za rok 2025.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z 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2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Zgodnie z art. 28aa ust. 1 i 2 ustawy z dnia 8 marca 1990 r. o samorządzie gminnym (Dz.U. z 2026 r. poz. 662), Burmistrz co roku do dnia 31 maja przedkłada radzie gminy raport o stanie gminy, który obejmuje podsumowanie działalności Burmistrza w roku poprzednim, w szczególności realizację polityki, programów i strategii, uchwał rady gminy i budżetu obywatelskiego.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Burmistrz Gminy i Miasta Węgliniec w dniu 29 czerwca 2026 r. przedstawił Radzie Miejskiej Węglińca Raport o stanie Gminy Węgliniec za 2025 rok. Po przeprowadzeniu debaty nad Raportem, wraz z udziałem mieszkańców, Rada Miejska Węglińca, biorąc pod uwagę przebieg debaty oraz informacje uzyskane w jej toku, postanawia udzielić wotum zaufania Burmistrzowi Gminy i Miasta Węgliniec.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Mając powyższe na uwadze, podjęcie niniejszej uchwały jest w pełni uzasadnione.</w:t>
      </w: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C9950BE5-787A-4F26-B933-0E1A85FFFFD7.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398/XXIX/2026 z dnia 29 czerwca 2026 r.</dc:title>
  <dc:subject>w sprawie udzielenia Burmistrzowi Gminy i^Miasta Węgliniec wotum zaufania</dc:subject>
  <dc:creator>Tatiana</dc:creator>
  <cp:lastModifiedBy>Tatiana</cp:lastModifiedBy>
  <cp:revision>1</cp:revision>
  <dcterms:created xsi:type="dcterms:W3CDTF">2026-07-03T11:25:21Z</dcterms:created>
  <dcterms:modified xsi:type="dcterms:W3CDTF">2026-07-03T11:25:21Z</dcterms:modified>
  <cp:category>Akt prawny</cp:category>
</cp:coreProperties>
</file>