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417/XXXI/2026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sierpnia 2026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inwentaryzacyjnej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Przepisy wprowadzające ustawę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terytorialnym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ustawę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nr 32,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Rada Miejska Węglińca uchwala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inwentaryzacyjną do sporządzania spisu inwentaryzacyjnego mienia nabytego od Skarbu Państwa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Bogacz - przewodnicząca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Górecka - członek komisji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Maria Zasańska - członek komisji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Zadaniem komisji będzie kontynuowanie prac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inwentaryzacją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komunalizacją mienia na rzecz Gminy Węgliniec, tj. sporządzanie wykazów, kart inwentaryzacyjnych oraz dokumentacji niezbędnej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komunalizacji nieruchomości.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Wiceprzewodniczący Rady Miejskiej Węglińca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Grzegorz Tyrakowski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2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maja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r. Przepisy wprowadzające ustawę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samorządzie terytorialnym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ustawę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pracownikach samorządowych w powiązaniu z wytycznymi Uchwały nr 104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Rady Ministrów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dnia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lipca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sprawie sposobu dokonywania inwentaryzacji mienia komunalnego, Rada Gminy powołuje komisję inwentaryzacyjną oraz określa jej skład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wybiera przewodniczącego komisji. Komisja sporządza spisy inwentaryzacyjne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karty inwentaryzacyjne oraz kompletuje dokumenty stwierdzające prawo do nieruchomości.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związku ze zmianami organizacyjnymi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Urzędzie Gminy Węgliniec konieczne jest powołanie nowej Komisji Inwentaryzacyjnej. Podjęcie przedmiotowej uchwały pozwoli na kontynuację działań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komunalizacją mienia komunalnego Są to przypadki pojedyncze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uregulowaniem stanu prawnego nieruchomości oraz związane z wyeliminowaniem błędnych zapisów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decyzjach komunalizacyjnych wydanych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latach 1990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pacing w:val="0"/>
          <w:sz w:val="22"/>
          <w:u w:val="none"/>
          <w:vertAlign w:val="baseline"/>
        </w:rPr>
        <w:t>- 1996.  Biorąc powyższe pod uwagę, powołanie Komisji Inwentaryzacyjnej przez Radę Miejską jest uzasadnione.</w:t>
      </w: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274A645F-1C1B-4140-B317-6A796606DA1D.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417/XXXI/2026 z dnia 31 sierpnia 2026 r.</dc:title>
  <dc:subject>w sprawie powołania komisji inwentaryzacyjnej</dc:subject>
  <dc:creator>Tatiana</dc:creator>
  <cp:lastModifiedBy>Tatiana</cp:lastModifiedBy>
  <cp:revision>1</cp:revision>
  <dcterms:created xsi:type="dcterms:W3CDTF">2026-09-07T11:54:30Z</dcterms:created>
  <dcterms:modified xsi:type="dcterms:W3CDTF">2026-09-07T11:54:30Z</dcterms:modified>
  <cp:category>Akt prawny</cp:category>
</cp:coreProperties>
</file>