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428/XXXII/2026</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29 września 2026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wysokości i zasad otrzymywania diet przez radnych Rady Miejskiej Węglińca oraz należności z tytułu zwrotu kosztów podróży służbowych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 25 ust. 4, 6 i 8 ustawy z dnia 8 marca 1990 r. ustawy o samorządzie gminnym (Dz. U. z 2026 r. poz. 662) w związku z § 3 pkt 3 rozporządzenia Rady Ministrów z dnia 27 października 2021 r. w sprawie maksymalnej wysokości diet przysługujących radnemu gminy (Dz.U. z 2021, poz. 1974) oraz rozporządzenia Ministra Spraw Wewnętrznych i Administracji z dnia 31 lipca 2000 r. w sprawie sposobu ustalania należności z tytułu zwrotu kosztów podróży służbowych radnych gminy (Dz.U. nr 66, poz. 800 z późn. zm.) Rada Miejska Węglińca uchwala,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Radnym Rady Miejskiej Węglińca w związku z pełnieniem przez nich mandatu radnego oraz funkcji w Radzie Miejskiej przysługują diety w formie miesięcznego ryczałtu.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Podstawę ustalania wysokości miesięcznych zryczałtowanych diet stanowi kwota bazowa określona w ustawie budżetowej dla osób zajmujących kierownicze stanowiska państwowe na podstawie przepisów ustawy z dnia 23 grudnia 1999 r. o kształtowaniu wynagrodzeń w państwowej sferze budżetowej oraz o zmianie niektórych ustaw (Dz. U. z 2024 r., poz. 1356 z późn. zm.).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Miesięczne zryczałtowane diety ustala się przy zastosowaniu mnożnika miesięcznego do kwoty bazowej, o której mowa w § 1 ust. 2 w sposób następujący: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dla Przewodniczącego Rady – mnożnik 0,71;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dla Wiceprzewodniczącego Rady – mnożnik 0,61;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dla radnych pełniących funkcję Przewodniczącego Komisji stałej lub doraźnej – mnożnik 0,51;</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dla radnych pełniących funkcję Zastępcy Przewodniczącego Komisji stałej lub doraźnej – mnożnik 0,46;</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dla pozostałych radnych niepełniących funkcji wymienionych w punktach 1-4 – mnożnik 0,44.</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sprawowania przez radnego kilku funkcji w organach gminy przysługuje jedna – wyższa dieta.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Wysokość diety w miesiącu, w którym kończy się kadencja rady i rozpoczyna nowa kadencja rady nalicza się proporcjonalnie do ilości dni trwania kadencji w tym miesiącu.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Członkowie komisji doraźnych otrzymują dietę za udział w posiedzeniach komisji stosując mnożnik 0,05 wynagrodzenia, o którym mowa w § 1 ust. 2 z zastrzeżeniem, że za jeden dzień może być wypłacona jedna dieta.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Zryczałtowana dieta miesięczna podlega pomniejszeniu z tytułu: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każdej nieobecności radnego na sesji Rady Miejskiej o 15%;</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każdej nieobecności radnego na posiedzeniu komisji Rady Miejskiej o 10%.</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gdy w jednym dniu odbywa się posiedzenie komisji i sesji, potrącenie za nieobecność wynosi 15%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Pomniejszenia z diety miesięcznej zgodnie z ust. 1 dokonuje się z diety wypłacanej radnemu za dany miesiąc kalendarzowy.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Radnym diety wypłaca się miesięcznie z dołu, najpóźniej w 5 dniu następnego miesiąca.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Diety, o których mowa w § 2 zaokrągla się do pełnych złotych.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przypadku wygaśnięcia mandatu lub złożenia ślubowania w trakcie miesiąca, dieta przysługuje proporcjonalnie do liczby dni wykonywania mandatu w danym miesiącu.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Gdy radny czasowo nie wykonuje czynności związanych z pełnieniem mandatu, zobowiązany jest pisemnie powiadomić o tym fakcie  Przewodniczącego Rady podając okres, w którym czynności takie nie były lub nie będą wykonywane.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Powiadomienie, o którym mowa w §5 ust. 4 należy przedłożyć Przewodniczącemu Rady najpóźniej w ostatnim dniu miesiąca, którego taka sytuacja dotyczy.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 przypadku, gdy czasowe niewykonywanie czynności związanych z pełnieniem mandatu oraz funkcji, o których mowa w §1 trwa pełny miesiąc, dieta za dany miesiąc nie przysługuje.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 przypadku, gdy czasowe niewykonanie czynności związanych z pełnieniem mandatu o którym mowa w § 1 trwa niepełny miesiąc, dietę za dany okres, po uwzględnieniu obniżeń dokonanych w §4 ust.1,2 ustala się proporcjonalnie do liczby dni kalendarzowych, w których radny wykonywał czynności związane z pełnieniem mandatu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Radnym przysługują diety i zwrot kosztów podróży służbowych na zasadach określonych w rozporządzeniu Ministra Spraw Wewnętrznych i Administracji z dnia 31 lipca 2000 r. w sprawie sposobu ustalenia należności z tytułu zwrotu kosztów podróży służbowych radnych gminy (Dz.U. nr 66, poz. 800 z późn. zm.).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Polecenie wyjazdu służbowego Przewodniczącemu Rady Miejskiej podpisuje Wiceprzewodniczący Rady Miejskiej.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Przewodniczący Rady Miejskiej może zezwolić radnemu na przejazd w podróży służbowej pojazdem samochodowym nie będącym własnością gminy wg maksymalnych stawek za 1 km przebiegu wskazanych na podstawie § 2 rozporządzenia Ministra Infrastruktury z dnia 25 marca 2002 r. w sprawie warunków ustalania i zwrotu kosztów używania do celów służbowych samochodów osobowych, motocykli i motorowerów nie będących własnością pracodawcy (Dz.U. nr 27, poz. 271 ze zm.).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b w:val="0"/>
          <w:i w:val="0"/>
          <w:caps w:val="0"/>
          <w:strike w:val="0"/>
          <w:color w:val="000000"/>
          <w:sz w:val="22"/>
          <w:u w:val="none" w:color="000000"/>
          <w:vertAlign w:val="baseline"/>
        </w:rPr>
        <w:t>Traci moc uchwała nr 90/X/19 Rady Gminy i Miasta w Węglińcu z dnia 24.05.2019 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wysokości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zasad otrzymywania diet przez radnych Rady Miejskiej Węglińca oraz należności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zwrotu kosztów podróży służbowych.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b w:val="0"/>
          <w:i w:val="0"/>
          <w:caps w:val="0"/>
          <w:strike w:val="0"/>
          <w:color w:val="000000"/>
          <w:sz w:val="22"/>
          <w:u w:val="none" w:color="000000"/>
          <w:vertAlign w:val="baseline"/>
        </w:rPr>
        <w:t>Wykonanie uchwały powierza się Burmistrzowi Gminy i Miasta Węgliniec.</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000000"/>
          <w:sz w:val="22"/>
          <w:u w:val="none" w:color="000000"/>
          <w:vertAlign w:val="baseline"/>
        </w:rPr>
        <w:t>Uchwała wchodzi w życie z dniem podjęcia, z mocą obowiązującą od dnia 01października 2026 r.</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Wiceprzewodniczący Rady Miejskiej Węglińca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Grzegorz Tyrakowski</w:t>
            </w:r>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000000"/>
          <w:spacing w:val="20"/>
          <w:sz w:val="22"/>
          <w:u w:val="none" w:color="000000"/>
          <w:vertAlign w:val="baseline"/>
        </w:rPr>
      </w:pPr>
      <w:r>
        <w:rPr>
          <w:rFonts w:ascii="Times New Roman" w:eastAsia="Times New Roman" w:hAnsi="Times New Roman" w:cs="Times New Roman"/>
          <w:b/>
          <w:caps w:val="0"/>
          <w:spacing w:val="20"/>
          <w:w w:val="100"/>
          <w:sz w:val="22"/>
        </w:rPr>
        <w:t>Uzasadnienie</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Stosownie do przepisów ustawy o samorządzie gminnym radnemu przysługuje dieta oraz zwrot kosztów podróży służbowych na zasadach określonych przez Radę Gminy. Rada Gminy przy ustalaniu wysokości diet radnych bierze pod uwagę funkcje pełnione przez radnego, co oznacza konieczność zróżnicowania wysokości diet w zależności od pełnionej funkcji. Powołane wyżej przepisy prawne przewidują również zwrot kosztów podróży służbowych radnych gminy. Propozycja ustalenia wysokości diet wynika z oceny niezbędnych kosztów, które ponoszone są w związku z wykonywaniem mandatu radnego.</w:t>
      </w:r>
    </w:p>
    <w:p w:rsidR="00A77B3E">
      <w:pPr>
        <w:keepNext w:val="0"/>
        <w:keepLines w:val="0"/>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Poprzednia treść uchwały w sprawie wysokości i</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zasad otrzymywania diet przez radnych Rady Miejskiej Węglińca oraz należności z</w:t>
      </w:r>
      <w:r>
        <w:rPr>
          <w:rFonts w:ascii="Times New Roman" w:eastAsia="Times New Roman" w:hAnsi="Times New Roman" w:cs="Times New Roman"/>
          <w:b w:val="0"/>
          <w:i w:val="0"/>
          <w:caps w:val="0"/>
          <w:strike w:val="0"/>
          <w:color w:val="000000"/>
          <w:spacing w:val="0"/>
          <w:sz w:val="22"/>
          <w:u w:val="none" w:color="000000"/>
          <w:vertAlign w:val="baseline"/>
        </w:rPr>
        <w:t> </w:t>
      </w:r>
      <w:r>
        <w:rPr>
          <w:rFonts w:ascii="Times New Roman" w:eastAsia="Times New Roman" w:hAnsi="Times New Roman" w:cs="Times New Roman"/>
          <w:b w:val="0"/>
          <w:i w:val="0"/>
          <w:caps w:val="0"/>
          <w:strike w:val="0"/>
          <w:color w:val="000000"/>
          <w:spacing w:val="0"/>
          <w:sz w:val="22"/>
          <w:u w:val="none" w:color="000000"/>
          <w:vertAlign w:val="baseline"/>
        </w:rPr>
        <w:t>tytułu zwrotu kosztów podróży służbowych była 3 - krotnie zmieniana. Obecnie dla zachowania transparentności i czytelności uchwały w związku z wnioskiem radnych o zmianę treści uchwały w części dotyczącej konieczności udziału radnych we wszystkich głosowaniach w celu otrzymania diety, postanowiono ujednolicić uchwałę. Wobec powyższego podjęcie przedmiotowej uchwały jest zasadne.</w:t>
      </w:r>
    </w:p>
    <w:sectPr>
      <w:footerReference w:type="default" r:id="rId4"/>
      <w:endnotePr>
        <w:numFmt w:val="decimal"/>
      </w:endnotePr>
      <w:pgSz w:w="11906" w:h="16838"/>
      <w:pgMar w:top="1417" w:right="1020" w:bottom="992" w:left="10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03B0F426-B586-44B5-991F-902FE2C0981A.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428/XXXII/2026 z dnia 29 września 2026 r.</dc:title>
  <dc:subject>w^sprawie wysokości i^zasad otrzymywania diet przez radnych Rady Miejskiej Węglińca oraz należności z^tytułu zwrotu kosztów podróży służbowych</dc:subject>
  <dc:creator>Tatiana</dc:creator>
  <cp:lastModifiedBy>Tatiana</cp:lastModifiedBy>
  <cp:revision>1</cp:revision>
  <dcterms:created xsi:type="dcterms:W3CDTF">2026-10-05T14:17:47Z</dcterms:created>
  <dcterms:modified xsi:type="dcterms:W3CDTF">2026-10-05T14:17:47Z</dcterms:modified>
  <cp:category>Akt prawny</cp:category>
</cp:coreProperties>
</file>