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7A0" w:rsidRDefault="008C19B3">
      <w:pPr>
        <w:pStyle w:val="Teksttreci0"/>
        <w:spacing w:after="0" w:line="230" w:lineRule="auto"/>
        <w:jc w:val="center"/>
      </w:pPr>
      <w:r>
        <w:rPr>
          <w:b/>
          <w:bCs/>
        </w:rPr>
        <w:t>Uchwała nr 1/13/2021</w:t>
      </w:r>
    </w:p>
    <w:p w:rsidR="006F17A0" w:rsidRDefault="008C19B3">
      <w:pPr>
        <w:pStyle w:val="Teksttreci0"/>
        <w:spacing w:after="220" w:line="230" w:lineRule="auto"/>
        <w:jc w:val="center"/>
      </w:pPr>
      <w:r>
        <w:rPr>
          <w:b/>
          <w:bCs/>
        </w:rPr>
        <w:t>Składu Orzekającego Regionalnej Izby Obrachunkowej we Wrocławiu</w:t>
      </w:r>
      <w:r>
        <w:rPr>
          <w:b/>
          <w:bCs/>
        </w:rPr>
        <w:br/>
        <w:t>z dnia 3 lutego 2021 r.</w:t>
      </w:r>
    </w:p>
    <w:p w:rsidR="006F17A0" w:rsidRDefault="008C19B3">
      <w:pPr>
        <w:pStyle w:val="Teksttreci0"/>
        <w:spacing w:after="660" w:line="254" w:lineRule="auto"/>
        <w:jc w:val="center"/>
      </w:pPr>
      <w:r>
        <w:rPr>
          <w:b/>
          <w:bCs/>
        </w:rPr>
        <w:t>w sprawie opinii o prawidłowości planowanej kwoty długu przedstawionej w uchwałach Rady</w:t>
      </w:r>
      <w:r>
        <w:rPr>
          <w:b/>
          <w:bCs/>
        </w:rPr>
        <w:br/>
        <w:t xml:space="preserve">Miejskiej Węglińca z dnia 30 grudnia 2020 r. nr </w:t>
      </w:r>
      <w:r>
        <w:rPr>
          <w:b/>
          <w:bCs/>
        </w:rPr>
        <w:t>468/XXIX/20 w sprawie przyjęcia Wieloletniej</w:t>
      </w:r>
      <w:r>
        <w:rPr>
          <w:b/>
          <w:bCs/>
        </w:rPr>
        <w:br/>
        <w:t>Prognozy Finansowej Gminy i Miasta Węgliniec oraz nr 469/XXIX/20 w sprawie budżetu</w:t>
      </w:r>
      <w:r>
        <w:rPr>
          <w:b/>
          <w:bCs/>
        </w:rPr>
        <w:br/>
        <w:t>gminy Węgliniec na 2021 rok</w:t>
      </w:r>
    </w:p>
    <w:p w:rsidR="006F17A0" w:rsidRDefault="008C19B3">
      <w:pPr>
        <w:pStyle w:val="Teksttreci0"/>
        <w:spacing w:after="220" w:line="252" w:lineRule="auto"/>
        <w:ind w:firstLine="460"/>
        <w:jc w:val="both"/>
      </w:pPr>
      <w:r>
        <w:t>Na podstawie art. 230 ust. 4 ustawy z dnia 27 sierpnia 2009 r. o finansach publicznych (Dz. U. z 201</w:t>
      </w:r>
      <w:r>
        <w:t>9 r. poz. 869 z późn.</w:t>
      </w:r>
      <w:bookmarkStart w:id="0" w:name="_GoBack"/>
      <w:bookmarkEnd w:id="0"/>
      <w:r>
        <w:t>zm.), w związku z art. 19 ust. 2 ustawy z dnia 7 października 1992 r. o regionalnych izbach obrachunkowych (Dz. U. z 2019 r. poz. 2137) oraz zarządzenia nr 2/20 Prezesa Regionalnej Izby Obrachunkowej we Wrocławiu z dnia 17 stycznia 20</w:t>
      </w:r>
      <w:r>
        <w:t>20 r. w sprawie wyznaczenia składów orzekających i ich przewodniczących, ze zm., Skład Orzekający Regionalnej Izby Obrachunkowej we Wrocławiu, w osobach:</w:t>
      </w:r>
    </w:p>
    <w:p w:rsidR="006F17A0" w:rsidRDefault="008C19B3">
      <w:pPr>
        <w:pStyle w:val="Teksttreci0"/>
        <w:numPr>
          <w:ilvl w:val="0"/>
          <w:numId w:val="1"/>
        </w:numPr>
        <w:tabs>
          <w:tab w:val="left" w:pos="201"/>
        </w:tabs>
        <w:spacing w:after="0"/>
        <w:jc w:val="both"/>
      </w:pPr>
      <w:r>
        <w:t>Magdalena Macias — przewodnicząca,</w:t>
      </w:r>
    </w:p>
    <w:p w:rsidR="006F17A0" w:rsidRDefault="008C19B3">
      <w:pPr>
        <w:pStyle w:val="Teksttreci0"/>
        <w:numPr>
          <w:ilvl w:val="0"/>
          <w:numId w:val="1"/>
        </w:numPr>
        <w:tabs>
          <w:tab w:val="left" w:pos="201"/>
        </w:tabs>
        <w:spacing w:after="0"/>
        <w:jc w:val="both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6F17A0" w:rsidRDefault="008C19B3">
      <w:pPr>
        <w:pStyle w:val="Teksttreci0"/>
        <w:numPr>
          <w:ilvl w:val="0"/>
          <w:numId w:val="1"/>
        </w:numPr>
        <w:tabs>
          <w:tab w:val="left" w:pos="201"/>
        </w:tabs>
        <w:spacing w:after="120"/>
        <w:jc w:val="both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6F17A0" w:rsidRDefault="008C19B3">
      <w:pPr>
        <w:pStyle w:val="Nagwek10"/>
        <w:keepNext/>
        <w:keepLines/>
      </w:pPr>
      <w:bookmarkStart w:id="1" w:name="bookmark0"/>
      <w:r>
        <w:t>wydaje opini</w:t>
      </w:r>
      <w:r>
        <w:t>ę pozytywną</w:t>
      </w:r>
      <w:bookmarkEnd w:id="1"/>
    </w:p>
    <w:p w:rsidR="006F17A0" w:rsidRDefault="008C19B3">
      <w:pPr>
        <w:pStyle w:val="Teksttreci0"/>
        <w:spacing w:after="320" w:line="252" w:lineRule="auto"/>
        <w:jc w:val="both"/>
      </w:pPr>
      <w:r>
        <w:t>o prawidłowości planowanej kwoty długu przedstawionej w uchwałach Rady Miejskiej Węglińca z dnia 30 grudnia 2020 r. nr 468/XXIX/20 w sprawie przyjęcia Wieloletniej Prognozy Finansowej Gminy i Miasta Węgliniec oraz nr 469/XXIX/20 w sprawie budże</w:t>
      </w:r>
      <w:r>
        <w:t>tu gminy Węgliniec na 2021 rok</w:t>
      </w:r>
    </w:p>
    <w:p w:rsidR="006F17A0" w:rsidRDefault="008C19B3">
      <w:pPr>
        <w:pStyle w:val="Nagwek10"/>
        <w:keepNext/>
        <w:keepLines/>
      </w:pPr>
      <w:bookmarkStart w:id="2" w:name="bookmark2"/>
      <w:r>
        <w:t>Uzasadnienie</w:t>
      </w:r>
      <w:bookmarkEnd w:id="2"/>
    </w:p>
    <w:p w:rsidR="006F17A0" w:rsidRDefault="008C19B3">
      <w:pPr>
        <w:pStyle w:val="Teksttreci0"/>
        <w:spacing w:after="0"/>
        <w:ind w:firstLine="460"/>
        <w:jc w:val="both"/>
      </w:pPr>
      <w:r>
        <w:t>Obowiązek przedstawienia przez regionalną izbę obrachunkową, na podstawie przyjętej przez jednostkę samorządu terytorialnego wieloletniej prognozy finansowej oraz uchwały budżetowej, opinii o prawidłowości planow</w:t>
      </w:r>
      <w:r>
        <w:t xml:space="preserve">anej kwoty długu wynika z postanowień art. 230 ust. 4 ustawy z dnia 27 sierpnia 2009 r. o finansach publicznych (Dz. U. z 2019 r. poz. 869 z </w:t>
      </w:r>
      <w:proofErr w:type="spellStart"/>
      <w:r>
        <w:t>późn</w:t>
      </w:r>
      <w:proofErr w:type="spellEnd"/>
      <w:r>
        <w:t xml:space="preserve">. zm., zwanej dalej - </w:t>
      </w:r>
      <w:proofErr w:type="spellStart"/>
      <w:r>
        <w:t>ufp</w:t>
      </w:r>
      <w:proofErr w:type="spellEnd"/>
      <w:r>
        <w:t>). Podstawą wydania opinii jest ocena prawidłowości planowanej kwoty długu, a w szczeg</w:t>
      </w:r>
      <w:r>
        <w:t>ólności poziomu kształtowania się wskaźników zadłużenia w okresie spłaty długu.</w:t>
      </w:r>
    </w:p>
    <w:p w:rsidR="006F17A0" w:rsidRDefault="008C19B3">
      <w:pPr>
        <w:pStyle w:val="Teksttreci0"/>
        <w:spacing w:after="0"/>
        <w:jc w:val="both"/>
      </w:pPr>
      <w:r>
        <w:t>Skład Orzekający na podstawie przekazanej w formie dokumentu elektronicznego w dniu 7 stycznia 2021 roku uchwały Rady Miejskiej Węglińca z dnia 30 grudnia 2020 r. nr 468/XXIX/2</w:t>
      </w:r>
      <w:r>
        <w:t xml:space="preserve">0 w sprawie przyjęcia Wieloletniej Prognozy Finansowej Gminy i Miasta Węgliniec oraz przekazanej 12 stycznia 2021 roku uchwały Rady Miejskiej Węglińca nr 469/XXIX/20 z dnia 30 grudnia 2020 r. w </w:t>
      </w:r>
      <w:proofErr w:type="spellStart"/>
      <w:r>
        <w:t>w</w:t>
      </w:r>
      <w:proofErr w:type="spellEnd"/>
      <w:r>
        <w:t xml:space="preserve"> sprawie budżetu gminy Węgliniec na 2021 rok, stwierdził co n</w:t>
      </w:r>
      <w:r>
        <w:t>astępuje.</w:t>
      </w:r>
    </w:p>
    <w:p w:rsidR="006F17A0" w:rsidRDefault="008C19B3">
      <w:pPr>
        <w:pStyle w:val="Teksttreci0"/>
        <w:numPr>
          <w:ilvl w:val="0"/>
          <w:numId w:val="2"/>
        </w:numPr>
        <w:tabs>
          <w:tab w:val="left" w:pos="291"/>
        </w:tabs>
        <w:spacing w:after="0"/>
        <w:jc w:val="both"/>
      </w:pPr>
      <w:r>
        <w:t xml:space="preserve">Wieloletnią prognozę finansową wraz z prognozą kwoty długu sporządzono na lata 2021 - 2040, co spełnia wymogi art. 227 </w:t>
      </w:r>
      <w:proofErr w:type="spellStart"/>
      <w:r>
        <w:t>ufp</w:t>
      </w:r>
      <w:proofErr w:type="spellEnd"/>
      <w:r>
        <w:t>. W każdym roku objętym prognozą określono wielkości, o któ</w:t>
      </w:r>
      <w:r w:rsidR="00616CC6">
        <w:t>r</w:t>
      </w:r>
      <w:r>
        <w:t xml:space="preserve">ych mowa w art. 226 ust. 1 </w:t>
      </w:r>
      <w:proofErr w:type="spellStart"/>
      <w:r>
        <w:t>ufp</w:t>
      </w:r>
      <w:proofErr w:type="spellEnd"/>
      <w:r>
        <w:t xml:space="preserve"> oraz dołączono objaśnienia przyję</w:t>
      </w:r>
      <w:r>
        <w:t>tych w prognozie wartości.</w:t>
      </w:r>
    </w:p>
    <w:p w:rsidR="006F17A0" w:rsidRDefault="008C19B3">
      <w:pPr>
        <w:pStyle w:val="Teksttreci0"/>
        <w:numPr>
          <w:ilvl w:val="0"/>
          <w:numId w:val="2"/>
        </w:numPr>
        <w:tabs>
          <w:tab w:val="left" w:pos="284"/>
        </w:tabs>
        <w:spacing w:after="0"/>
        <w:jc w:val="both"/>
      </w:pPr>
      <w:r>
        <w:t xml:space="preserve">Ujęte w prognozie na 2021 rok kwoty dochodów, wydatków, przychodów i rozchodów budżetu oraz długu są zgodne z kwotami ujętymi w uchwale budżetowej na 2021 rok, co spełnia wymogi art. 229 </w:t>
      </w:r>
      <w:proofErr w:type="spellStart"/>
      <w:r>
        <w:t>ufp</w:t>
      </w:r>
      <w:proofErr w:type="spellEnd"/>
      <w:r>
        <w:t>.</w:t>
      </w:r>
    </w:p>
    <w:p w:rsidR="006F17A0" w:rsidRDefault="008C19B3">
      <w:pPr>
        <w:pStyle w:val="Teksttreci0"/>
        <w:numPr>
          <w:ilvl w:val="0"/>
          <w:numId w:val="2"/>
        </w:numPr>
        <w:tabs>
          <w:tab w:val="left" w:pos="288"/>
        </w:tabs>
        <w:spacing w:after="0"/>
        <w:jc w:val="both"/>
      </w:pPr>
      <w:r>
        <w:t xml:space="preserve">Planowana w 2021 roku kwota </w:t>
      </w:r>
      <w:r>
        <w:t>przychodów wynosi 2.769.924,00 zł, z tego z tytułu planowanego do zaciągnięcia kredytu - 1.950.000,00 zł oraz z tytułu planowanej pożyczki - 819.924,00 zł. Wielkość rozchodów stanowi kwotę 1.482.400,00 zł z tytułu spłat rat kredytów pożyczek. W kolejnych l</w:t>
      </w:r>
      <w:r>
        <w:t xml:space="preserve">atach objętych wieloletnią prognozą finansową nie planuje się przychodów z tytułu zwrotnych źródeł finansowania, o których mowa w art. 89 ust. 1 pkt 2, 3 i 4 </w:t>
      </w:r>
      <w:proofErr w:type="spellStart"/>
      <w:r>
        <w:t>ufp</w:t>
      </w:r>
      <w:proofErr w:type="spellEnd"/>
      <w:r>
        <w:t>. a źródłem spłaty długu są prognozowane nadwyżki budżetu.</w:t>
      </w:r>
    </w:p>
    <w:p w:rsidR="006F17A0" w:rsidRDefault="008C19B3">
      <w:pPr>
        <w:pStyle w:val="Teksttreci0"/>
        <w:numPr>
          <w:ilvl w:val="0"/>
          <w:numId w:val="2"/>
        </w:numPr>
        <w:tabs>
          <w:tab w:val="left" w:pos="288"/>
        </w:tabs>
        <w:jc w:val="both"/>
      </w:pPr>
      <w:r>
        <w:t>Prognozowana kwota długu na koniec 2</w:t>
      </w:r>
      <w:r>
        <w:t>021 roku wynosi 15.014.829,10 zł. Na kwotę długu składają się kredyty i pożyczki zaciągnięte w latach poprzednich oraz planowane do zaciągnięcia w 2021 roku. Z przedłożonej prognozy wynika, że spłata długu nastąpi do roku 2040. W latach 2021 - 2040 obciąże</w:t>
      </w:r>
      <w:r>
        <w:t>nia kolejnych budżetów spłatą zobowiązań finansowych i kosztów ich obsługi do dochodów bieżących budżetu nie przekraczają dopuszczalnych poziomów wyliczonych zgodnie z art.</w:t>
      </w:r>
    </w:p>
    <w:p w:rsidR="006F17A0" w:rsidRDefault="008C19B3">
      <w:pPr>
        <w:pStyle w:val="Teksttreci0"/>
        <w:spacing w:after="460"/>
        <w:jc w:val="both"/>
      </w:pPr>
      <w:r>
        <w:t xml:space="preserve">243 </w:t>
      </w:r>
      <w:proofErr w:type="spellStart"/>
      <w:r>
        <w:t>ufp</w:t>
      </w:r>
      <w:proofErr w:type="spellEnd"/>
      <w:r>
        <w:t xml:space="preserve">, przy uwzględnieniu przepisów ustawy z dnia 2 marca 2020 r. o szczególnych </w:t>
      </w:r>
      <w:r>
        <w:t>rozwiązaniach związanych z zapobieganiem, przeciwdziałaniem i zwalczaniem COVID-19, innych chorób zakaźnych oraz wywołanych nimi sytuacji kryzysowych (Dz. U. z 2020 r. poz. 1842 z późn.</w:t>
      </w:r>
      <w:r>
        <w:t>zm).</w:t>
      </w:r>
    </w:p>
    <w:p w:rsidR="006F17A0" w:rsidRDefault="008C19B3">
      <w:pPr>
        <w:pStyle w:val="Teksttreci0"/>
        <w:spacing w:after="240"/>
        <w:jc w:val="both"/>
      </w:pPr>
      <w:r>
        <w:lastRenderedPageBreak/>
        <w:t xml:space="preserve">Opinia - zgodnie z art. 230 ust. 4 </w:t>
      </w:r>
      <w:proofErr w:type="spellStart"/>
      <w:r>
        <w:t>ufp</w:t>
      </w:r>
      <w:proofErr w:type="spellEnd"/>
      <w:r>
        <w:t xml:space="preserve"> - podlega publikacji przez</w:t>
      </w:r>
      <w:r>
        <w:t xml:space="preserve"> jednostkę samorządu terytorialnego na zasadach określonych w ustawie z dnia 6 września 2001 r. o dostępie do informacji publicznej (Dz.U. z 2020 r. poz. 2176) w terminie 7 dni od dnia jej otrzymania.</w:t>
      </w:r>
    </w:p>
    <w:p w:rsidR="006F17A0" w:rsidRDefault="008C19B3">
      <w:pPr>
        <w:pStyle w:val="Teksttreci0"/>
        <w:spacing w:after="240"/>
        <w:ind w:firstLine="420"/>
        <w:jc w:val="both"/>
      </w:pPr>
      <w:r>
        <w:t>Od niniejszej uchwały przysługuje zgodnie z art. 20 ust</w:t>
      </w:r>
      <w:r>
        <w:t>. 1 ustawy o regionalnych izbach obrachunkowych odwołanie do Kolegium Regionalnej Izby Obrachunkowej we Wrocławiu w terminie 14 dni od dnia doręczenia uchwały.</w:t>
      </w:r>
    </w:p>
    <w:p w:rsidR="006F17A0" w:rsidRDefault="008C19B3">
      <w:pPr>
        <w:pStyle w:val="Teksttreci20"/>
        <w:spacing w:after="0"/>
        <w:ind w:left="602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PRZEWODNICZĄCY</w:t>
      </w:r>
    </w:p>
    <w:p w:rsidR="006F17A0" w:rsidRDefault="008C19B3">
      <w:pPr>
        <w:pStyle w:val="Teksttreci20"/>
        <w:spacing w:line="228" w:lineRule="auto"/>
        <w:ind w:left="6440"/>
      </w:pPr>
      <w:r>
        <w:rPr>
          <w:i w:val="0"/>
          <w:iCs w:val="0"/>
        </w:rPr>
        <w:t>Składu Orzekającego</w:t>
      </w:r>
    </w:p>
    <w:p w:rsidR="006F17A0" w:rsidRDefault="008C19B3">
      <w:pPr>
        <w:pStyle w:val="Teksttreci20"/>
      </w:pPr>
      <w:r>
        <w:t xml:space="preserve">mgr </w:t>
      </w:r>
      <w:proofErr w:type="spellStart"/>
      <w:r>
        <w:t>Mdg&amp;sl&amp;na</w:t>
      </w:r>
      <w:proofErr w:type="spellEnd"/>
      <w:r>
        <w:t xml:space="preserve"> </w:t>
      </w:r>
      <w:proofErr w:type="spellStart"/>
      <w:r>
        <w:t>Mdciss</w:t>
      </w:r>
      <w:proofErr w:type="spellEnd"/>
    </w:p>
    <w:sectPr w:rsidR="006F17A0">
      <w:pgSz w:w="11900" w:h="16840"/>
      <w:pgMar w:top="1319" w:right="1393" w:bottom="1580" w:left="1406" w:header="891" w:footer="115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9B3" w:rsidRDefault="008C19B3">
      <w:r>
        <w:separator/>
      </w:r>
    </w:p>
  </w:endnote>
  <w:endnote w:type="continuationSeparator" w:id="0">
    <w:p w:rsidR="008C19B3" w:rsidRDefault="008C1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9B3" w:rsidRDefault="008C19B3"/>
  </w:footnote>
  <w:footnote w:type="continuationSeparator" w:id="0">
    <w:p w:rsidR="008C19B3" w:rsidRDefault="008C19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3127C"/>
    <w:multiLevelType w:val="multilevel"/>
    <w:tmpl w:val="91389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C94DA4"/>
    <w:multiLevelType w:val="multilevel"/>
    <w:tmpl w:val="B42689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A0"/>
    <w:rsid w:val="00616CC6"/>
    <w:rsid w:val="006F17A0"/>
    <w:rsid w:val="008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0F967"/>
  <w15:docId w15:val="{CEC64D70-1A0D-4B67-B111-3FFBD22D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color w:val="E15B68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2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40"/>
      <w:ind w:left="6260"/>
    </w:pPr>
    <w:rPr>
      <w:rFonts w:ascii="Arial" w:eastAsia="Arial" w:hAnsi="Arial" w:cs="Arial"/>
      <w:i/>
      <w:iCs/>
      <w:color w:val="E15B6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3897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2021-02-11T11:51:00Z</dcterms:created>
  <dcterms:modified xsi:type="dcterms:W3CDTF">2021-02-11T11:53:00Z</dcterms:modified>
</cp:coreProperties>
</file>