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495/XXXI/21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marca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407/XIX/12 Rady Miejskiej Węglińca z dnia 20 listopada 2012r. w sprawie ustalenia minimalnych stawek czynszu za wynajem, dzierżawę lokali użytkowych, nieruchomości gruntowych i lokali w obiektach zarządzanych przez gminne jednostki organizacyjne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40 ust. 2 pkt 3 ustawy z dnia 8 marca 1990r. o samorządzie gminnym (Dz.U.z 2020r., poz. 713 z późn. zm. ) Rada Miejska Węglińca uchwala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407/XIX/12 Rady Miejskiej Węglińca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2012r.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minimalnych stawek czynszu za wynajem, dzierżawę lokali użytkowych, nieruchomości gruntowych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lokali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obiektach zarządzanych przez gminne jednostki organizacyjne, wprowadza się następujące zmiany: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zmienia się pkt XVII  załącznika do uchwały, który otrzymuje brzmienie: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plac pod zabudowę nietrwałą - wykorzystywany do prowadzenia działalności gospodarczej - 62,00 zł/mc za pow. do 25 m² i każdą jej krotność za rozpoczętą powierzchnię ponad 50m², 75m² itp.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nieruchomości gruntowe zabudowane i nie zabudowane wykorzystywane na składowanie materiałów budowlanych - 1,00złm²/m-c.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plac wykorzystywany pod samochód gastronomiczny typu Food Truck - 100,00zł/10m²/m-c.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po upływie 14 dni od dnia ogłoszenia w Dzienniku Urzędowym Województwa Dolnośląskiego.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Uchwała zostaje podjęta w związku z koniecznością ustalenia stawki czynszu za użytkowanie nieruchomości gruntowych do składowania materiałów oraz prowadzenia działalności gastronomicznej. Konsekwencją dla budżetu będzie zwiększenie dochodów z tytułu dzierżawy gruntów użytkowanych w powyższym celu.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273635EA-BCA2-407F-86D7-2B28632DEDFF.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495/XXXI/21 z dnia 4 marca 2021 r.</dc:title>
  <dc:subject>w sprawie zmiany uchwały nr 407/XIX/12 Rady Miejskiej Węglińca z^dnia 20^listopada 2012r. w^sprawie ustalenia minimalnych stawek czynszu za wynajem, dzierżawę lokali użytkowych, nieruchomości gruntowych i^lokali w^obiektach zarządzanych przez gminne jednostki organizacyjne</dc:subject>
  <dc:creator>Alicja</dc:creator>
  <cp:lastModifiedBy>Alicja</cp:lastModifiedBy>
  <cp:revision>1</cp:revision>
  <dcterms:created xsi:type="dcterms:W3CDTF">2021-03-11T14:27:49Z</dcterms:created>
  <dcterms:modified xsi:type="dcterms:W3CDTF">2021-03-11T14:27:49Z</dcterms:modified>
  <cp:category>Akt prawny</cp:category>
</cp:coreProperties>
</file>