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1/22/2021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Składu Orzekającego Regionalnej Izby Obrachunkowej we Wrocławiu</w:t>
        <w:br/>
        <w:t>z dnia 21 kwietnia 2021 r.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6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opinii o przedłożonym przez Burmistrza Gminy i Miasta Węgliniec sprawozdaniu z</w:t>
        <w:br/>
        <w:t>wykonania budżetu Gminy Węgliniec za 2020 rok.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19 ust.2 w związku z art. 13 pkt 5 ustawy z dnia 7 października 1992 roku o</w:t>
        <w:br/>
        <w:t>regionalnych izbach obrachunkowych (Dz.U. z 2019 r., poz. 2137) oraz zarządzenia 2/20 Prezesa</w:t>
        <w:br/>
        <w:t>Regionalnej Izby Obrachunkowej we Wrocławiu z dnia 17 stycznia 2020 r. w sprawie wyznaczenia</w:t>
        <w:br/>
        <w:t>składów orzekających i ich przewodniczących, ze zmianami, Skład Orzekający Regionalnej Izby</w:t>
        <w:br/>
        <w:t>Obrachunkowej we Wrocławiu, w osobach: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 — przewodnicząca,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Stylska — członek,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" w:val="left"/>
        </w:tabs>
        <w:bidi w:val="0"/>
        <w:spacing w:before="0" w:after="1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Arkadiusz Babczuk — członek,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wydaje opinię pozytywną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przedłożonym przez Burmistrza Gminy i Miasta Węgliniec sprawozdaniu z wykonania budżetu</w:t>
        <w:br/>
        <w:t>Gminy Węgliniec za 2020 rok.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Stosownie do przepisów art. 267 ust.l pkt 1 oraz ust.3 ustawy z dnia 27 sierpnia 2009 roku o</w:t>
        <w:br/>
        <w:t>finansach publicznych (Dz. U. z 2021 r. poz. 305 - dalej ufp) - dalej ufp, wójt gminy (burmistrz,</w:t>
        <w:br/>
        <w:t>prezydent) w terminie do dnia 31 marca roku następującego po roku budżetowym, przedstawia radzie</w:t>
        <w:br/>
        <w:t>gminy oraz regionalnej izbie obrachunkowej sprawozdanie roczne z wykonania budżetu gminy,</w:t>
        <w:br/>
        <w:t>zawierające zestawienie dochodów i wydatków wynikające z zamknięć rachunków budżetu gminy, w</w:t>
        <w:br/>
        <w:t>szczegółowości nie mniejszej, niż w uchwale budżetowej.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 Orzekający wydał niniejszą opinię na podstawie analizy danych i informacji zawartych w</w:t>
        <w:br/>
        <w:t>sprawozdaniach z wykonania procesów gromadzenia środków publicznych i ich rozdysponowania</w:t>
        <w:br/>
        <w:t>(Rb), sporządzonych za okres od 1 stycznia do 31 grudnia 2020 roku oraz w przedłożonym 30 marca</w:t>
        <w:br/>
        <w:t>2021 roku przez Burmistrza Gminy i Miasta Węgliniec sprawozdaniu rocznym z wykonania budżetu</w:t>
        <w:br/>
        <w:t>Gminy Węgliniec za 2020 rok.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Badając pod względem merytorycznym sprawozdanie z wykonania budżetu gminy za 2020 rok Skład</w:t>
        <w:br/>
        <w:t>Orzekający stwierdza, że: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dochodów i wydatków budżetowych wykazany w sprawozdaniu uwzględnia zmiany</w:t>
        <w:br/>
        <w:t>wynikające z uchwał i zarządzeń organów gminy.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Plany i wykonanie subwencji są zgodne z wielkościami określonymi przez Ministra Finansów.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budżetu ogółem zrealizowano w wysokości 45.545.464,17 zł co w stosunku do</w:t>
        <w:br/>
        <w:t>zaplanowanych wielkości wynosi 111,05%, w tym dochody bieżące wykonano w kwocie</w:t>
        <w:br/>
        <w:t>39.027.279,03 zł, co stanowi 104,66%, a dochody majątkowe w wysokości 6.518.185,14 zł, co</w:t>
        <w:br/>
        <w:t>stanowi 175,10% wielkości planowanej. Wykonanie wpływów z poszczególnych źródeł zostało w</w:t>
        <w:br/>
        <w:t>sprawozdaniu omówione. Przedstawiono obszernie stan zaległości wobec budżetu, podejmowane</w:t>
        <w:br/>
        <w:t>działania oraz skutki obniżenia górnych stawek podatkowych, zastosowanych ulg i zwolnień.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zrealizowano w wysokości 43.638.994,76 zł, co w stosunku do planu stanowi 90,63%, w</w:t>
        <w:br/>
        <w:t>tym wydatki bieżące wykonano w kwocie 33.829.987,35 zł, co stanowi 91,05%, a wydatki</w:t>
        <w:br/>
        <w:t>majątkowe w kwocie 9.809.007,41 zł, co stanowi 89,20% wielkości planowanej. W sprawozdaniu</w:t>
        <w:br/>
        <w:t>omówiono realizację wydatków bieżących oraz wydatków inwestycyjnych w odniesieniu do</w:t>
        <w:br/>
        <w:t>poszczególnych zadań.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wyniku analizy sprawozdań „Rb-27S o dochodach budżetowych” oraz „Rb-28S o wydatkach</w:t>
        <w:br/>
        <w:t>budżetowych” stwierdzono, że: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opłaty za wydane zezwolenia na sprzedaż napojów alkoholowych określone w ustawie z dnia 26</w:t>
        <w:br/>
        <w:t>października 1982 roku o wychowaniu w trzeźwości i przeciwdziałaniu alkoholizmowi (Dz.U. z 2019</w:t>
        <w:br/>
        <w:t>r, poz.2277) zaplanowane w kwocie 103.000,00 zł zrealizowano w wysokości 132.492,19 zł, co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stanowi 128,63% planu;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na realizację gminnego programu profilaktyki i rozwiązywania problemów alkoholowych</w:t>
        <w:br/>
        <w:t>wyniosły 125.874,26 zł, co stanowi 95,51% planu;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związane z realizacją programu zwalczania narkomanii wyniosły 4.820,00 zł, co stanowi</w:t>
        <w:br/>
        <w:t>96,40% planu.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sprawozdaniu omówiono realizację zadań z gminnego programu profilaktyki i przeciwdziałania</w:t>
        <w:br/>
        <w:t>alkoholizmowi oraz zwalczania narkomanii;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uzyskane z opłat i kar za korzystanie ze środowiska w kwocie 2.647,69 zł zostały</w:t>
        <w:br/>
        <w:t>przeznaczone na finansowanie zadań związanych z ochroną środowiska;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uzyskane z opłat za gospodarowanie odpadami wyniosły 1.851.603,88 zł, co stanowi</w:t>
        <w:br/>
        <w:t>98,86% kwoty planowanej; wydatki związane z gospodarką odpadami wyniosły 1.929.296,31 zł, co</w:t>
        <w:br/>
        <w:t>stanowi 98,43% kwoty planowanej.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sprawozdaniu przedstawiono wykonanie przychodów i kosztów samorządowego zakładu</w:t>
        <w:br/>
        <w:t>budżetowego a także wykonanie dochodów rachunków dochodów jednostek, o których mowa w art.</w:t>
        <w:br/>
        <w:t>223 ust.l ufp oraz wydatków nimi finansowanych.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wyniku realizacji dochodów i wydatków budżetu gminy za 2020 rok powstała nadwyżka</w:t>
        <w:br/>
        <w:t>budżetowa w kwocie 1.906.469,41 zł, przy planowanym deficycie w wysokości 7.137.687,00 zł.</w:t>
        <w:br/>
        <w:t>Gmina w 2020 r. zaciągnęła kredyty i pożyczki w łącznej kwocie 4.000.000,00 zł oraz dokonała</w:t>
        <w:br/>
        <w:t>spłaty rat pożyczek i kredytów długoterminowych w łącznej kwocie 1.418.791,00 zł. Łączna wartość</w:t>
        <w:br/>
        <w:t>zobowiązań z tytułu pożyczek i kredytów długoterminowych na dzień 31 grudnia 2020 roku wynosiła</w:t>
        <w:br/>
        <w:t>13.821.983,32 zł. Gmina nie posiadała zobowiązań wymagalnych. Zobowiązania warunkowe z tytułu</w:t>
        <w:br/>
        <w:t>poręczeń udzielonych innym podmiotom wynosiły58.300,00 zł.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 operacyjny budżetu za 2020 rok, stanowiący różnicę pomiędzy dochodami bieżącymi i</w:t>
        <w:br/>
        <w:t>wydatkami bieżącymi jest wielkością dodatnią i wynosi 5.197.291,68 zł. Oznacza to, że zachowany</w:t>
        <w:br/>
        <w:t>został wymóg określony przepisami art. 242 ust. 2 ufp, w myśl których na koniec roku budżetowego</w:t>
        <w:br/>
        <w:t>wykonane wydatki bieżące nie mogą być wyższe, niż wykonane dochody bieżące powiększone o</w:t>
        <w:br/>
        <w:t>nadwyżkę budżetową z lat ubiegłych i wolne środki.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Biorą pod uwagę przedstawione wyżej okoliczności, Skład Orzekający postanowił wydać pozytywną</w:t>
        <w:br/>
        <w:t>opinię o sprawozdaniu z wykonania budżetu gminy Węgliniec za 2020 rok. Jednocześnie wskazuje</w:t>
        <w:br/>
        <w:t>się, że ocena wydatkowania środków budżetowych pod kątem celowości i gospodarności należy do</w:t>
        <w:br/>
        <w:t>wyłącznej kompetencji rady gminy.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niniejszej uchwały przysługuje zgodnie z art. 20 ust. 1 ustawy o regionalnych izbach</w:t>
        <w:br/>
        <w:t>obrachunkowych odwołanie do Kolegium Regionalnej Izby Obrachunkowej we Wrocławiu w terminie</w:t>
        <w:br/>
        <w:t>14 dni od dnia doręczenia uchwały.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</w:t>
        <w:br/>
        <w:t>Skład trOrzekającego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mgr Magsja/ena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Macias</w:t>
      </w:r>
    </w:p>
    <w:sectPr>
      <w:headerReference w:type="default" r:id="rId5"/>
      <w:headerReference w:type="even" r:id="rId6"/>
      <w:footnotePr>
        <w:pos w:val="pageBottom"/>
        <w:numFmt w:val="decimal"/>
        <w:numRestart w:val="continuous"/>
      </w:footnotePr>
      <w:pgSz w:w="11900" w:h="16840"/>
      <w:pgMar w:top="1609" w:right="1376" w:bottom="1504" w:left="139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3763645</wp:posOffset>
              </wp:positionH>
              <wp:positionV relativeFrom="page">
                <wp:posOffset>644525</wp:posOffset>
              </wp:positionV>
              <wp:extent cx="57150" cy="939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6.35000000000002pt;margin-top:50.75pt;width:4.5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6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Nagłówek lub stopka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440" w:line="252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Nagłówek lub stopka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220" w:line="218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KM_C224e-20210504131900</dc:title>
  <dc:subject/>
  <dc:creator/>
  <cp:keywords/>
</cp:coreProperties>
</file>