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28 maja 2021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</w:t>
        <w:br/>
        <w:t>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 KOMISJI:</w:t>
        <w:br/>
        <w:t>GOSPODARCZEJ, SPOŁECZNEJ, REWIZYJNEJ</w:t>
        <w:br/>
        <w:t>ORAZ SKARG, WNIOSKÓW I PETYCJI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82" w:val="left"/>
        </w:tabs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z funkcjonowania WSSPZOZ w Zgorzelcu oraz Ośrodka Zdrowia w Węglińcu.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Analiza działalności ZUK za 2020 rok.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Analiza pracy MGOK za 2020 rok.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Ocena realizacji planowanych inwestycji.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Planowane remonty dróg.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Plany remontowo-budowlane w placówkach oświatowych.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 w:line="20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wykonania budżetu Gminy Węgliniec na podstawie;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9" w:val="left"/>
        </w:tabs>
        <w:bidi w:val="0"/>
        <w:spacing w:before="0" w:after="0" w:line="161" w:lineRule="auto"/>
        <w:ind w:left="0" w:right="0" w:firstLine="3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opinii Regionalnej Izby Obrachunkowej,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pBdr>
          <w:bottom w:val="single" w:sz="4" w:space="0" w:color="auto"/>
        </w:pBdr>
        <w:shd w:val="clear" w:color="auto" w:fill="auto"/>
        <w:tabs>
          <w:tab w:pos="709" w:val="left"/>
        </w:tabs>
        <w:bidi w:val="0"/>
        <w:spacing w:before="0" w:line="161" w:lineRule="auto"/>
        <w:ind w:left="360" w:right="0" w:firstLine="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sprawozdania z wykonania budżetu Gminy Węgliniec za 2020 rok,</w:t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 xml:space="preserve">&gt;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informacji o stanie mienia komunalnego.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sprawozdań finansowych Gminy Węgliniec za 2020 rok.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52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52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różne.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12" w:val="left"/>
        </w:tabs>
        <w:bidi w:val="0"/>
        <w:spacing w:before="0" w:after="1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Wypracowanie przez Komisję Rewizyjną wniosku dot. absolutorium dla Burmistrza.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060" w:right="0" w:hanging="26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(-)MAREK WAWRZYNEK</w:t>
      </w:r>
    </w:p>
    <w:sectPr>
      <w:footnotePr>
        <w:pos w:val="pageBottom"/>
        <w:numFmt w:val="decimal"/>
        <w:numRestart w:val="continuous"/>
      </w:footnotePr>
      <w:pgSz w:w="11900" w:h="16840"/>
      <w:pgMar w:top="1417" w:right="1717" w:bottom="1417" w:left="842" w:header="989" w:footer="98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9">
    <w:name w:val="Tekst treści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6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8">
    <w:name w:val="Tekst treści"/>
    <w:basedOn w:val="Normal"/>
    <w:link w:val="CharStyle9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