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16" w:lineRule="auto"/>
        <w:ind w:left="-540" w:right="0" w:firstLine="0"/>
        <w:jc w:val="left"/>
        <w:rPr>
          <w:sz w:val="26"/>
          <w:szCs w:val="26"/>
        </w:rPr>
      </w:pPr>
      <w:r>
        <w:rPr>
          <w:b w:val="0"/>
          <w:bCs w:val="0"/>
          <w:i w:val="0"/>
          <w:iCs w:val="0"/>
          <w:color w:val="E8829F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B U R M 1 S T R Z</w:t>
        <w:br/>
        <w:t>Gminy i Miasta</w:t>
        <w:br/>
        <w:t>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45/2021</w:t>
        <w:br/>
        <w:t>Burmistrza Gminy i Miasta Węgliniec</w:t>
        <w:br/>
        <w:t>z dnia 31.05.2021 roku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przekazania środka trwałego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30 ust. 2 pkt 3 ustawy z dnia 8 marca 1990r. o samorządzie gminnym -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 Dz.U. z 2020r., poz. 713 ), oraz § 20 ust.2 pkt b) Regulaminu Organizacyjnego Urzędu Gminy i</w:t>
        <w:br/>
        <w:t>Miasta</w:t>
      </w:r>
      <w:r>
        <w:rPr>
          <w:rFonts w:ascii="Arial" w:eastAsia="Arial" w:hAnsi="Arial" w:cs="Arial"/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Węglińcu zarządzam co następuje 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dniem 31.05.202Ir. przekazuje się Zakładowi Usług Komunalnych w Węglińcu w</w:t>
        <w:br/>
        <w:t>administrowanie 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8" w:val="left"/>
        </w:tabs>
        <w:bidi w:val="0"/>
        <w:spacing w:before="0" w:after="0" w:line="240" w:lineRule="auto"/>
        <w:ind w:left="760" w:right="0" w:hanging="3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lokal mieszkalny nr 3 przy ul. Leśnej 1 w Węglińcu posadowiony na działce nr 207/1,</w:t>
        <w:br/>
        <w:t>wraz z pomieszczeniami przynależnymi i udziałem w gruncie wynoszącym</w:t>
        <w:br/>
        <w:t>2040/10000 części,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8" w:val="left"/>
        </w:tabs>
        <w:bidi w:val="0"/>
        <w:spacing w:before="0" w:after="280" w:line="240" w:lineRule="auto"/>
        <w:ind w:left="760" w:right="0" w:hanging="3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Lokal mieszkalny nr 2 przy ul. Sikorskiego 2A w Węglińcu posadowiony na działce nr</w:t>
        <w:br/>
        <w:t>207/3 wraz z pomieszczeniami przynależnymi i udziałem w gruncie wynoszącym</w:t>
        <w:br/>
        <w:t>4224/10000 części.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4260" w:right="0" w:firstLine="0"/>
        <w:jc w:val="lef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Administrowanie środkami trwałymi winno być zgodne z obowiązującymi przepisami.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4260" w:right="0" w:firstLine="0"/>
        <w:jc w:val="lef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Koszty utrzymania w zakresie administrowania ponosi ZUK w Węglińcu.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4260" w:right="0" w:firstLine="0"/>
        <w:jc w:val="lef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Przekazanie środka trwałego w § 1 nastąpi w formie protokołu zdawczo-odbiorczego.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4260" w:right="0" w:firstLine="0"/>
        <w:jc w:val="lef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powierzam Kierownikowi Wydziału Infrastruktury Komunalnej</w:t>
        <w:br/>
        <w:t>Ochrony Środowiska i Gospodarki Nieruchomościami i Dyrektorowi Zakładu Usług</w:t>
        <w:br/>
        <w:t>Komunalnych w Węglińcu.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280" w:line="240" w:lineRule="auto"/>
        <w:ind w:left="4260" w:right="0" w:firstLine="0"/>
        <w:jc w:val="lef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Sporządziła: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M. Podkalicka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Wydz. IIKpok. 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tel. 75 7711435 wew. 51.</w:t>
      </w:r>
    </w:p>
    <w:sectPr>
      <w:footnotePr>
        <w:pos w:val="pageBottom"/>
        <w:numFmt w:val="decimal"/>
        <w:numRestart w:val="continuous"/>
      </w:footnotePr>
      <w:pgSz w:w="11900" w:h="16840"/>
      <w:pgMar w:top="880" w:right="1573" w:bottom="880" w:left="1112" w:header="452" w:footer="45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13">
    <w:name w:val="Tekst treści (4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370" w:line="228" w:lineRule="auto"/>
      <w:ind w:left="-27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620" w:line="257" w:lineRule="auto"/>
      <w:ind w:firstLine="21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12">
    <w:name w:val="Tekst treści (4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KM_C224e-20210614145147</dc:title>
  <dc:subject/>
  <dc:creator/>
  <cp:keywords/>
</cp:coreProperties>
</file>