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23 czerwca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ODBĘDZIE SIĘ WSPÓLNE POSIEDZENIE KOMISJI:</w:t>
        <w:br/>
        <w:t>GOSPODARCZEJ, SPOŁECZNEJ, REWIZYJNEJ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380"/>
        <w:jc w:val="left"/>
        <w:rPr>
          <w:sz w:val="28"/>
          <w:szCs w:val="28"/>
        </w:rPr>
      </w:pPr>
      <w:r>
        <w:rPr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stanu bezpieczeństwa na terenie Gminy i Miasta Węgliniec za 2020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40" w:lineRule="auto"/>
        <w:ind w:left="3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Sprawozdanie z rocznego programu współpracy Gminy Węgliniec z organizacjami pozarządowymi za</w:t>
        <w:br/>
        <w:t>rok 2020.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Raport o stanie gminy.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1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300" w:right="0" w:firstLine="0"/>
        <w:jc w:val="left"/>
        <w:rPr>
          <w:sz w:val="30"/>
          <w:szCs w:val="30"/>
        </w:rPr>
      </w:pPr>
      <w:r>
        <w:rPr>
          <w:smallCap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(-)mmarek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1408" w:bottom="845" w:left="1398" w:header="417" w:footer="41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220"/>
      <w:ind w:left="91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