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5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547/XXXVI/21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24 czerwca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udzielenia Burmistrzowi Gminy i Miasta Węgliniec absolutorium z tytułu wykonania budżetu za 2020 rok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18 ust. 2 pkt 4 i art. 28a ust. 2 ustawy z dnia 8 marca 1990 r. o samorządzie gminnym (Dz. U. z 2020 r., poz. 713 z późn. zm.), oraz art. 271 ust. 1 ustawy z dnia 27 sierpnia 2009 r. o finansach publicznych (Dz. U. z 2021 r., poz. 305),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Rada Miejska po zapoznaniu się ze: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sprawozdaniem z wykonania budżetu Gminy Węgliniec za 2020 rok,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sprawozdaniem finansowym,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opinią Regionalnej Izby Obrachunkowej we Wrocławiu, Zespół w Jeleniej Górze,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informacją o stanie mienia komunalnego,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stanowiskiem Komisji Rewizyjnej,</w:t>
      </w:r>
    </w:p>
    <w:p w:rsidR="00A77B3E">
      <w:pPr>
        <w:keepNext/>
        <w:keepLines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udziela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Burmistrzowi Gminy i Miasta Węgliniec absolutorium z tytułu wykonania budżetu za 2020 rok.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  <w:t>Uchwała wchodzi w życie z 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 w:color="000000"/>
                <w:vertAlign w:val="baseline"/>
              </w:rPr>
            </w:pPr>
          </w:p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 w:color="000000"/>
          <w:vertAlign w:val="baseline"/>
        </w:rPr>
        <w:t>Wypełniając obowiązek określony w art. 271 ust. 1 ustawy z dnia 27 sierpnia 2009 r. o finansach publicznych (Dz. U. z 2021 r., poz. 305), a posiadając upoważnienie ustawowe określone w art. 18 ust. 2 pkt 4 ustawy z dnia 8 marca 1990 r. o samorządzie gminnym (Dz. U. z 2020 r., poz. 713 z późn. zm.) Rada Miejska Węglińca po zapoznaniu się ze sprawozdaniami finansowymi, sprawozdaniem z wykonania budżetu, opinią Regionalnej Izby Obrachunkowej, informacją o stanie mienia komunalnego i stanowiskiem Komisji Rewizyjnej stwierdziła, że są wypełnione przesłanki i podstawy do udzielenia absolutorium.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5FC7777D-4695-41E5-9EFD-A282F60CBEB3.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547/XXXVI/21 z dnia 24 czerwca 2021 r.</dc:title>
  <dc:subject>w sprawie udzielenia Burmistrzowi Gminy i^Miasta Węgliniec absolutorium z^tytułu wykonania budżetu za 2020^rok</dc:subject>
  <dc:creator>Alicja</dc:creator>
  <cp:lastModifiedBy>Alicja</cp:lastModifiedBy>
  <cp:revision>1</cp:revision>
  <dcterms:created xsi:type="dcterms:W3CDTF">2021-06-28T11:08:10Z</dcterms:created>
  <dcterms:modified xsi:type="dcterms:W3CDTF">2021-06-28T11:08:10Z</dcterms:modified>
  <cp:category>Akt prawny</cp:category>
</cp:coreProperties>
</file>