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  <w:br/>
        <w:t>(Dz. U. z 2020 roku, poz. 713 z późn. zm.)</w:t>
        <w:br/>
        <w:t>na wniosek Burmistrza Gminy i Miasta Węgliniec</w:t>
        <w:br/>
        <w:t>12 sierpnia 2021 r. o godz.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51" w:right="426" w:bottom="241" w:left="349" w:header="323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widowControl w:val="0"/>
        <w:spacing w:line="62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51" w:right="0" w:bottom="2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4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 uchwał: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7" w:val="left"/>
        </w:tabs>
        <w:bidi w:val="0"/>
        <w:spacing w:before="0" w:after="0" w:line="252" w:lineRule="auto"/>
        <w:ind w:left="12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</w:t>
        <w:br/>
        <w:t>468/XXIX/20 Rady Miejskiej Węglińca z dnia 30 grudnia 2020</w:t>
        <w:br/>
        <w:t>r. w sprawie przyjęcia Wieloletniej Prognozy Finansowej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7" w:val="left"/>
        </w:tabs>
        <w:bidi w:val="0"/>
        <w:spacing w:before="0" w:after="0" w:line="252" w:lineRule="auto"/>
        <w:ind w:left="12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7" w:val="left"/>
        </w:tabs>
        <w:bidi w:val="0"/>
        <w:spacing w:before="0" w:after="0" w:line="252" w:lineRule="auto"/>
        <w:ind w:left="12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59/VII/19 Rady Miejskiej</w:t>
        <w:br/>
        <w:t>Węglińca z dnia 21 marca 2019 r. w sprawie powołania członków</w:t>
        <w:br/>
        <w:t>stałych komisji Rady Miejskiej Węglińca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7" w:val="left"/>
        </w:tabs>
        <w:bidi w:val="0"/>
        <w:spacing w:before="0" w:after="0" w:line="252" w:lineRule="auto"/>
        <w:ind w:left="12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60/VII/19 Rady Miejskiej</w:t>
        <w:br/>
        <w:t>Węglińca z dnia 21 marca 2021 r. w sprawie wyboru</w:t>
        <w:br/>
        <w:t>przewodniczących stałych komisji Rady Miejskiej Węglińca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7" w:val="left"/>
        </w:tabs>
        <w:bidi w:val="0"/>
        <w:spacing w:before="0" w:after="0" w:line="252" w:lineRule="auto"/>
        <w:ind w:left="12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Strategii Rozwiązywania Problemów</w:t>
        <w:br/>
        <w:t>Społecznych Gminy i Miasta Węgliniec na lata 2021-2030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7" w:val="left"/>
        </w:tabs>
        <w:bidi w:val="0"/>
        <w:spacing w:before="0" w:after="0" w:line="252" w:lineRule="auto"/>
        <w:ind w:left="12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140/XI/15 Rady Miejskiej</w:t>
        <w:br/>
        <w:t>Węglińca z dnia 27 października 2015 r. w sprawie utworzenia</w:t>
        <w:br/>
        <w:t>centrum usług wspólnych dla jednostek organizacyjnych Gminy</w:t>
        <w:br/>
        <w:t>Węgliniec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114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średniej ceny jednostki paliwa w Gminie</w:t>
        <w:br/>
        <w:t>Węgliniec w roku szkolnym 2021/2022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114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załącznika do uchwały nr 486/XXX/21 Rady</w:t>
        <w:br/>
        <w:t>Miejskiej Węglińca z dnia 4 lutego 2021 r. w sprawie określenia</w:t>
        <w:br/>
        <w:t>szczegółowego trybu i harmonogramu opracowania projektu</w:t>
        <w:br/>
        <w:t>Strategii Rozwoju Gminy i Miasta Węgliniec na lata 2021-2030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114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maksymalnej wysokości opłaty za</w:t>
        <w:br/>
        <w:t>wyżywienie i opłaty za pobyt dziecka w Miejskim Żłobku</w:t>
        <w:br/>
        <w:t>Publicznym im. Kubusia Puchatka w Węglińcu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114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szesnaście uchwał w sprawie wyrażenia zgody na odstąpienie od</w:t>
        <w:br/>
        <w:t>obowiązku trybu przetargowego i zawarcie umowy najmu</w:t>
        <w:br/>
        <w:t>pomieszczenia gospodarczego/ dzierżawy gruntu pod zabudowę</w:t>
        <w:br/>
        <w:t>kubaturową/ dzierżawy gruntu na cele rekreacyjne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</w:tabs>
        <w:bidi w:val="0"/>
        <w:spacing w:before="0" w:after="5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6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51" w:right="426" w:bottom="241" w:left="349" w:header="0" w:footer="3" w:gutter="0"/>
          <w:cols w:num="2" w:sep="1" w:space="659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 i</w:t>
        <w:br/>
        <w:t>Miasta w Węglińcu, informuję, że sesja Rady Miejskiej Węglińca odbędzie się bez udziału publiczności. Zachęcam do śledzenia obrad online.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 maseczek</w:t>
        <w:br/>
        <w:t>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51" w:right="426" w:bottom="241" w:left="34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line="245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