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31 sierpnia 2021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10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ODBĘDZIE SIĘ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  <w:rPr>
          <w:sz w:val="34"/>
          <w:szCs w:val="34"/>
        </w:rPr>
      </w:pP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KOMISJI SPOŁECZNEJ 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42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Wybór Wiceprzewodniczącego komisji.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406" w:val="left"/>
        </w:tabs>
        <w:bidi w:val="0"/>
        <w:spacing w:before="0" w:after="4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Przygotowanie szkół do roku szkolnego 2021/2022 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402" w:val="left"/>
        </w:tabs>
        <w:bidi w:val="0"/>
        <w:spacing w:before="0" w:after="4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Informacja nt. powstania gabinetu rehabilitacji w Węglińcu.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70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93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</w:t>
        <w:br/>
        <w:t>pracowników Urzędu Gminy i Miasta w Węglińcu, informuję, że posiedzenie Komisji Społeczej Rady Miejskiej Węglińca odbędzie się bez</w:t>
        <w:br/>
        <w:t>udziału publiczności.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5" w:right="1388" w:bottom="694" w:left="1359" w:header="417" w:footer="26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0">
    <w:name w:val="Tekst treści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3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9">
    <w:name w:val="Tekst treści"/>
    <w:basedOn w:val="Normal"/>
    <w:link w:val="CharStyle10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