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burmistrz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240"/>
        <w:jc w:val="both"/>
      </w:pPr>
      <w:r>
        <w:rPr>
          <w:b w:val="0"/>
          <w:bCs w:val="0"/>
          <w:color w:val="EB8AA7"/>
          <w:spacing w:val="0"/>
          <w:w w:val="100"/>
          <w:position w:val="0"/>
          <w:shd w:val="clear" w:color="auto" w:fill="auto"/>
          <w:lang w:val="pl-PL" w:eastAsia="pl-PL" w:bidi="pl-PL"/>
        </w:rPr>
        <w:t>Gminy i Miasta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4001" w:val="left"/>
        </w:tabs>
        <w:bidi w:val="0"/>
        <w:spacing w:before="0" w:after="0"/>
        <w:ind w:left="0" w:right="0" w:firstLine="520"/>
        <w:jc w:val="both"/>
      </w:pPr>
      <w:r>
        <w:rPr>
          <w:b w:val="0"/>
          <w:bCs w:val="0"/>
          <w:color w:val="EB8AA7"/>
          <w:spacing w:val="0"/>
          <w:w w:val="100"/>
          <w:position w:val="0"/>
          <w:shd w:val="clear" w:color="auto" w:fill="auto"/>
          <w:lang w:val="pl-PL" w:eastAsia="pl-PL" w:bidi="pl-PL"/>
        </w:rPr>
        <w:t>Węgliniec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Zarządzenie nr 87/2021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Burmistrza Gminy i Miasta Węgliniec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 dnia 01.09.202Ir.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760" w:right="0" w:firstLine="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zmian Zarządzenia nr 66/2013 Burmistrza Gminy i Miasta Węgliniec z dnia</w:t>
        <w:br/>
        <w:t>09.09.2013r. w sprawie procedury opracowania Wieloletniej Prognozy Finansowej Gminy</w:t>
        <w:br/>
        <w:t>Węgliniec.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60" w:right="0" w:firstLine="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Na podstawie art. 230 ustawy z dnia 27 sierpnia 2009 r. o finansach publicznych (Dz. U. z</w:t>
        <w:br/>
        <w:t>202Ir. poz.305 i 1236) oraz art.30 ust.2 pkt 2 ustawy z dnia 8 marca 1990r. o samorządzie</w:t>
        <w:br/>
        <w:t>gminnym (t.j. Dz.U. z 2020r., poz.713z późn.zm.) Burmistrz Gminy i Miasta Węgliniec</w:t>
        <w:br/>
        <w:t>zarządza, co następuje: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bidi w:val="0"/>
        <w:spacing w:before="0" w:after="240" w:line="240" w:lineRule="auto"/>
        <w:ind w:left="0" w:right="0" w:firstLine="0"/>
        <w:jc w:val="center"/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2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Zarządzeniu nr 66/2013 z dnia 09.09.2013r. wprowadza się następujące zmiany: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6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§ 2 pkt 1 zakłada się wzrost dochodów bieżących w kolejnych latach objętych Prognozą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78" w:val="left"/>
        </w:tabs>
        <w:bidi w:val="0"/>
        <w:spacing w:before="0" w:after="0" w:line="240" w:lineRule="auto"/>
        <w:ind w:left="112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max 4,3 % w roku 2022 (wskaźnik wzrostu PKB r/r)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78" w:val="left"/>
        </w:tabs>
        <w:bidi w:val="0"/>
        <w:spacing w:before="0" w:after="0" w:line="240" w:lineRule="auto"/>
        <w:ind w:left="112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3% od roku 2023 do ostatniego roku Prognozy.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8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§ 2 pkt 5 treść dotychczasową zastępuje się następującą: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2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„Wynagrodzenia i składki związane z ich naliczaniem - w roku 2022 przewiduje się wzrost</w:t>
        <w:br/>
        <w:t>wynagrodzeń pracowników w jednostkach organizacyjnych o 6%, w roku 2023 o 2%,</w:t>
        <w:br/>
        <w:t>natomiast w latach od 2024 do ostatniego roku objętego Prognozą przewiduje się 3% wzrost</w:t>
        <w:br/>
        <w:t>wydatków na wynagrodzenia. Wiersz wynagrodzenia i składki związane z ich naliczaniem</w:t>
        <w:br/>
        <w:t>obejmuje również wypłatę odpraw emerytalnych, nagród jubileuszowych i planowane</w:t>
        <w:br/>
        <w:t>skutki innych zdarzeń.”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4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§ 2 pkt 6 treść dotychczasową zastępuje się następującą: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2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„1.Wydatki związane z funkcjonowaniem organów gminy obejmują wydatki planowane w</w:t>
        <w:br/>
        <w:t>rozdziale 75022 i 72023. Należy założyć wzrost wydatków z tego tytułu: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721" w:val="left"/>
        </w:tabs>
        <w:bidi w:val="0"/>
        <w:spacing w:before="0" w:after="0" w:line="240" w:lineRule="auto"/>
        <w:ind w:left="146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roku 2022 - 6% wzrost wynagrodzeń pracowników oraz wskaźnik wzrostu</w:t>
        <w:br/>
        <w:t>wydatków rzeczowych 2,8%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725" w:val="left"/>
        </w:tabs>
        <w:bidi w:val="0"/>
        <w:spacing w:before="0" w:after="0" w:line="240" w:lineRule="auto"/>
        <w:ind w:left="146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roku 2023 - 2% wzrost wynagrodzeń pracowników oraz wskaźnik wzrostu</w:t>
        <w:br/>
        <w:t>wydatków rzeczowych 2,5%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725" w:val="left"/>
        </w:tabs>
        <w:bidi w:val="0"/>
        <w:spacing w:before="0" w:after="0" w:line="240" w:lineRule="auto"/>
        <w:ind w:left="146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latach od 2024 do ostatniego roku objętego Prognozą - 3% wzrost wynagrodzeń</w:t>
        <w:br/>
        <w:t>pracowników oraz 2,5% wskaźnik wzrostu wydatków rzeczowych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71" w:val="left"/>
        </w:tabs>
        <w:bidi w:val="0"/>
        <w:spacing w:before="0" w:after="0" w:line="240" w:lineRule="auto"/>
        <w:ind w:left="112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Bieżące wydatki administracyjne w jednostkach organizacyjnych gminy planuje się z</w:t>
        <w:br/>
        <w:t>uwzględnieniem wskaźnika wzrostu:</w:t>
      </w:r>
    </w:p>
    <w:p>
      <w:pPr>
        <w:pStyle w:val="Style11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381" w:val="left"/>
        </w:tabs>
        <w:bidi w:val="0"/>
        <w:spacing w:before="0" w:after="0" w:line="240" w:lineRule="auto"/>
        <w:ind w:left="112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2,8% dla roku 2022</w:t>
      </w:r>
    </w:p>
    <w:p>
      <w:pPr>
        <w:pStyle w:val="Style11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378" w:val="left"/>
        </w:tabs>
        <w:bidi w:val="0"/>
        <w:spacing w:before="0" w:after="280" w:line="240" w:lineRule="auto"/>
        <w:ind w:left="112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2,5% dla lat od 2023 roku do ostatniego roku objętego Prognozą.”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§2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76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Zarządzenie wchodzi w życie z dniem wydania.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  <w:rPr>
          <w:sz w:val="22"/>
          <w:szCs w:val="22"/>
        </w:rPr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4959985</wp:posOffset>
                </wp:positionH>
                <wp:positionV relativeFrom="paragraph">
                  <wp:posOffset>127000</wp:posOffset>
                </wp:positionV>
                <wp:extent cx="1200150" cy="217170"/>
                <wp:wrapSquare wrapText="lef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00150" cy="2171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EB8AA7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 xml:space="preserve">Mari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usjPWicczorek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390.55000000000001pt;margin-top:10.pt;width:94.5pt;height:17.10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EB8AA7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 xml:space="preserve">Mari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usjPWicczorek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sporz. J.Zawisza tel. 757711435</w:t>
      </w:r>
    </w:p>
    <w:sectPr>
      <w:footnotePr>
        <w:pos w:val="pageBottom"/>
        <w:numFmt w:val="decimal"/>
        <w:numRestart w:val="continuous"/>
      </w:footnotePr>
      <w:pgSz w:w="11900" w:h="16840"/>
      <w:pgMar w:top="536" w:right="1187" w:bottom="536" w:left="593" w:header="108" w:footer="108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§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8">
    <w:multiLevelType w:val="multilevel"/>
    <w:lvl w:ilvl="0">
      <w:start w:val="2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1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886CB4"/>
      <w:sz w:val="20"/>
      <w:szCs w:val="20"/>
      <w:u w:val="none"/>
    </w:rPr>
  </w:style>
  <w:style w:type="character" w:customStyle="1" w:styleId="CharStyle6">
    <w:name w:val="Tekst treści (4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EB8AA7"/>
      <w:sz w:val="34"/>
      <w:szCs w:val="34"/>
      <w:u w:val="none"/>
    </w:rPr>
  </w:style>
  <w:style w:type="character" w:customStyle="1" w:styleId="CharStyle8">
    <w:name w:val="Tekst treści (2)_"/>
    <w:basedOn w:val="DefaultParagraphFont"/>
    <w:link w:val="Style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2">
    <w:name w:val="Tekst treści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">
    <w:name w:val="Tekst treści (3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886CB4"/>
      <w:sz w:val="20"/>
      <w:szCs w:val="20"/>
      <w:u w:val="none"/>
    </w:rPr>
  </w:style>
  <w:style w:type="paragraph" w:customStyle="1" w:styleId="Style5">
    <w:name w:val="Tekst treści (4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EB8AA7"/>
      <w:sz w:val="34"/>
      <w:szCs w:val="34"/>
      <w:u w:val="none"/>
    </w:rPr>
  </w:style>
  <w:style w:type="paragraph" w:customStyle="1" w:styleId="Style7">
    <w:name w:val="Tekst treści (2)"/>
    <w:basedOn w:val="Normal"/>
    <w:link w:val="CharStyle8"/>
    <w:pPr>
      <w:widowControl w:val="0"/>
      <w:shd w:val="clear" w:color="auto" w:fill="auto"/>
      <w:spacing w:line="202" w:lineRule="auto"/>
      <w:ind w:firstLine="12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1">
    <w:name w:val="Tekst treści"/>
    <w:basedOn w:val="Normal"/>
    <w:link w:val="CharStyle1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KM_C224e-20210903121827</dc:title>
  <dc:subject/>
  <dc:creator/>
  <cp:keywords/>
</cp:coreProperties>
</file>