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Uchwała nr 1/57/2021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26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Składu Orzekającego Regionalnej Izby Obrachunkowej we Wrocławiu</w:t>
        <w:br/>
        <w:t>z dnia 24 września 2021 r.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660" w:line="252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sprawie opinii o przedłożonej przez Burmistrza Gminy i Miasta Węgliniec informacji o</w:t>
        <w:br/>
        <w:t>przebiegu wykonania budżetu gminy Węgliniec za I półrocze 2021 roku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Na podstawie art. 13 pkt 4 i art. 19 ust. 2 ustawy z dnia 7 października 1992 r. o regionalnych</w:t>
        <w:br/>
        <w:t>izbach obrachunkowych (Dz. U. z 2019 r. poz. 2137) oraz zarządzenia nr 2/20 Prezesa Regionalnej</w:t>
        <w:br/>
        <w:t>Izby Obrachunkowej we Wrocławiu z dnia 17 stycznia 2020 r. w sprawie wyznaczenia składów</w:t>
        <w:br/>
        <w:t>orzekających i ich przewodniczących, ze zmianami, Skład Orzekający Regionalnej Izby</w:t>
        <w:br/>
        <w:t>Obrachunkowej we Wrocławiu, w osobach: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Magdalena Macias — przewodnicząca,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8" w:val="left"/>
        </w:tabs>
        <w:bidi w:val="0"/>
        <w:spacing w:before="0" w:after="0" w:line="240" w:lineRule="auto"/>
        <w:ind w:left="0" w:right="0" w:firstLine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Joanna Stylska — członek,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54" w:val="left"/>
        </w:tabs>
        <w:bidi w:val="0"/>
        <w:spacing w:before="0" w:after="120" w:line="240" w:lineRule="auto"/>
        <w:ind w:left="0" w:right="0" w:firstLine="1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Arkadiusz Babczuk — członek,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wydaje opinię pozytywną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 przedłożonej przez Burmistrza Gminy i Miasta Węgliniec informacji o przebiegu wykonania</w:t>
        <w:br/>
        <w:t>budżetu gminy Węgliniec za I półrocze 2021 roku.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Uzasadnienie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Skład Orzekający wydał niniejszą opinię na podstawie analizy danych i informacji zawartych w</w:t>
        <w:br/>
        <w:t>sprawozdaniach statystycznych z wykonania budżetu gminy (Rb), sporządzonych w oparciu o wymogi</w:t>
        <w:br/>
        <w:t>określone w rozporządzeniach Ministra Rozwoju i Finansów z dnia 9 stycznia 2018 r. w sprawie</w:t>
        <w:br/>
        <w:t>sprawozdawczości budżetowej (Dz. U. z 2020 r. poz. 1564 ze zm.), Ministra Finansów, Funduszy i</w:t>
        <w:br/>
        <w:t>Polityki Regionalnej z dnia 17 grudnia 2020 r. w sprawie sprawozdań jednostek sektora finansów</w:t>
        <w:br/>
        <w:t>publicznych w zakresie operacji finansowych (Dz. U. z 2020 r. poz. 2396) oraz Ministra Finansów z</w:t>
        <w:br/>
        <w:t>dnia 2 marca 2010 r. w sprawie szczegółowej klasyfikacji dochodów, wydatków, przychodów i</w:t>
        <w:br/>
        <w:t>rozchodów oraz środków pochodzących ze źródeł zagranicznych (Dz.U. z 2014 r. poz. 1053 ze zm.),</w:t>
        <w:br/>
        <w:t>za okres od początku roku do 30 czerwca 2021 roku oraz w przedłożonej w dniu 30 sierpnia 2021</w:t>
        <w:br/>
        <w:t>roku przez Burmistrza Gminy i Miasta Węgliniec informacji o przebiegu wykonania budżetu gminy</w:t>
        <w:br/>
        <w:t>Węgliniec za I półrocze 2021 r. wraz z informacja o kształtowaniu się wieloletniej prognozy</w:t>
        <w:br/>
        <w:t>finansowej oraz informacją o wykonaniu planów finansowych samorządowej instytucji kultury.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Zakres i forma przedłożonej przez Burmistrza informacji o przebiegu wykonania budżetu gminy za I</w:t>
        <w:br/>
        <w:t>półrocze 2021 roku wraz z informacją o kształtowaniu się wieloletniej prognozy finansowej oraz</w:t>
        <w:br/>
        <w:t>informacją o wykonaniu planów finansowych samorządowej instytucji kultury są zgodne z wymogami</w:t>
        <w:br/>
        <w:t>określonymi w uchwale Rady Miejskiej Węglińca Nr 295/XLP10 z dnia 23 lipca 2010 r. w sprawie</w:t>
        <w:br/>
        <w:t>określenia zakresu i formy informacji o przebiegu wykonania budżetu gminy Węgliniec za pierwsze</w:t>
        <w:br/>
        <w:t>półrocze.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Dokonując, pod względem merytorycznym, badania informacji o przebiegu wykonania budżetu gminy</w:t>
        <w:br/>
        <w:t>za I półrocze 2021 rok Skład Orzekający stwierdza, że: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8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Plan dochodów i wydatków budżetowych wykazany w informacji uwzględnia zmiany wynikające z</w:t>
        <w:br/>
        <w:t>uchwał i zarządzeń organów gminy, w tym zmiany kwot dotacji celowych na zadania zlecone z</w:t>
        <w:br/>
        <w:t>zakresu administracji rządowej.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8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Wykonanie subwencji oraz wykonanie dochodów z tytułu udziału we wpływach z podatku</w:t>
        <w:br/>
        <w:t>dochodowego od osób fizycznych są zgodne z wielkościami określonymi przez Ministra Finansów.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9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Dochody budżetowe ogółem za I półrocze 2021 roku zrealizowano w wysokości 22.597.939,24 zł</w:t>
        <w:br/>
        <w:t>co w stosunku do zaplanowanych wielkości wynosi 53,44%, w tym dochody bieżące wykonano w</w:t>
        <w:br/>
        <w:t>kwocie 21.256.130,35 zł, co stanowi 54,91%, a dochody majątkowe w wysokości 1.341.808,89 zł, co</w:t>
        <w:br/>
        <w:t>stanowi 37,49% wielkości planowanej. Przebieg wykonania wpływów z poszczególnych źródeł został</w:t>
        <w:br/>
        <w:t>w informacji przedstawiony. W informacji, w sposób obszerny, przedstawiono stan zaległości wobec</w:t>
        <w:br/>
        <w:t>budżetu oraz wskazano działania podejmowane w celu ich zmniejszenia.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8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Wydatki budżetowe ogółem za I półrocze 2021 roku zrealizowano w wysokości 21.270.537,43 zł,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co w stosunku do planu stanowi 42,12%, w tym wydatki bieżące wykonano w kwocie 17.614.765,04</w:t>
        <w:br/>
        <w:t>zł, co stanowi 46,40%, a wydatki majątkowe w kwocie 3.655.772,39 zł, co stanowi 29,17% wielkości</w:t>
        <w:br/>
        <w:t>planowanej. W informacji, w sposób obszerny przedstawiono wykonanie wydatków.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8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wyniku analizy sprawozdań „Rb-27S o dochodach budżetowych” oraz „Rb-28S o wydatkach</w:t>
        <w:br/>
        <w:t>budżetowych” stwierdzono, że: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1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opłaty za wydane zezwolenia na sprzedaż napojów alkoholowych określone w ustawie z dnia 26</w:t>
        <w:br/>
        <w:t>października 1982 roku o wychowaniu w trzeźwości i przeciwdziałaniu alkoholizmowi (Dz. U. z 2021</w:t>
        <w:br/>
        <w:t>r. poz. 1119) zaplanowane w kwocie 116.000,00 zł zrealizowano w wysokości 113.602,41 zł, co</w:t>
        <w:br/>
        <w:t>stanowi 97,93% planu;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1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wydatki na realizację programu profilaktyki i rozwiązywania problemów alkoholowych wyniosły</w:t>
        <w:br/>
        <w:t>61.337,64 zł, co stanowi 43,39% planu;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1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wydatki związane z realizacją programu zwalczania narkomanii, zaplanowane w wysokości 5.000,00</w:t>
        <w:br/>
        <w:t>zł, nie były w I półroczu ponoszone.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informacji omówiono realizację zadań z programu profilaktyki i przeciwdziałania alkoholizmowi</w:t>
        <w:br/>
        <w:t>oraz przeciwdziałania narkomanii.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8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Dochody z tytułu opłat i kar za korzystanie ze środowiska wyniosły 2.163,45 zł, co stanowiło</w:t>
        <w:br/>
        <w:t>16,64% wielkości planowanej. Zaplanowane w tym zakresie wydatki nie były realizowane w I</w:t>
        <w:br/>
        <w:t>półroczu.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77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Dochody z tytułu opłaty za gospodarowanie odpadami komunalnymi zrealizowano w kwocie</w:t>
        <w:br/>
        <w:t>1.105.718,46 zł, co stanowiło 49,06% wielkości planowanej. Poniesione na ten cel wydatki wyniosły</w:t>
        <w:br/>
        <w:t>1.212.651,97zł, co stanowiło 49,39% wielkości planowanej.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8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informacji przedstawiono wykonanie dochodów rachunków jednostek, o których mowa w art.</w:t>
        <w:br/>
        <w:t>223 ust.l ustawy z dnia 27 sierpnia 2009 roku o finansach publicznych (Dz. U. z 2021 r. poz. 305 i</w:t>
        <w:br/>
        <w:t>1535), dalej ufp, oraz wydatków nimi finansowanych. Przedstawiono wykonanie przychodów i</w:t>
        <w:br/>
        <w:t>kosztów samorządowego zakładu budżetowego.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9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wyniku realizacji dochodów i wydatków budżetu gminy za I półrocze 2021 roku powstała</w:t>
        <w:br/>
        <w:t>nadwyżka w kwocie 1.327.401,81 zł, przy planowanym deficycie w kwocie 8.210.289,20 zł. Gmina</w:t>
        <w:br/>
        <w:t>w I półroczu 2021 r. nie zaciągała kredytów i pożyczek. Gmina dokonała spłaty rat pożyczek i</w:t>
        <w:br/>
        <w:t>kredytów długoterminowych w kwocie 745.133,80 zł. Łączna wartość zobowiązań na dzień 30</w:t>
        <w:br/>
        <w:t>czerwca 2021 roku wynosiła 13.001.105,00 zł. Gmina nie posiadała zobowiązań wymagalnych,</w:t>
        <w:br/>
        <w:t>posiadała natomiast zobowiązania warunkowe z tytułu udzielonych poręczeń innym podmiotom w</w:t>
        <w:br/>
        <w:t>kwocie 58.300,00 zł.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9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Różnica pomiędzy wykonanymi za I półrocze 2021 roku dochodami bieżącymi i wydatkami</w:t>
        <w:br/>
        <w:t>bieżącymi jest wielkością dodatnią, co spełnia wymogi art. 242 ufp.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informacji przedłożonej Radzie Miejskiej Węglińca dokonano analizy przebiegu realizacji budżetu</w:t>
        <w:br/>
        <w:t>za I półrocze 2021 roku. Przedstawiono realizację dochodów z poszczególnych źródeł oraz wydatków</w:t>
        <w:br/>
        <w:t>na poszczególne zadania. Zostały sformułowane wnioski wynikające z dokonanej analizy przebiegu</w:t>
        <w:br/>
        <w:t>realizacji dochodów i wydatków.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Biorąc pod uwagę przedstawione wyżej okoliczności, Skład Orzekający postanowił wydać pozytywną</w:t>
        <w:br/>
        <w:t>opinię o informacji Burmistrza o przebiegu wykonania budżetu gminy Węgliniec za I półrocze 2021</w:t>
        <w:br/>
        <w:t>roku.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 niniejszej uchwały przysługuje zgodnie z art. 20 ust. 1 ustawy o regionalnych izbach</w:t>
        <w:br/>
        <w:t>obrachunkowych odwołanie do Kolegium Regionalnej Izby Obrachunkowej we Wrocławiu w terminie</w:t>
        <w:br/>
        <w:t>14 dni od dnia doręczenia uchwały.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PRZEWODNICZĄCY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09" w:lineRule="auto"/>
        <w:ind w:left="674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l-PL" w:eastAsia="pl-PL" w:bidi="pl-PL"/>
        </w:rPr>
        <w:t>SkłacfO Orzekającego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460" w:firstLine="0"/>
        <w:jc w:val="right"/>
      </w:pPr>
      <w:r>
        <w:rPr>
          <w:i/>
          <w:iCs/>
          <w:spacing w:val="0"/>
          <w:w w:val="100"/>
          <w:position w:val="0"/>
          <w:shd w:val="clear" w:color="auto" w:fill="auto"/>
          <w:lang w:val="pl-PL" w:eastAsia="pl-PL" w:bidi="pl-PL"/>
        </w:rPr>
        <w:t>a Macias</w:t>
      </w:r>
    </w:p>
    <w:sectPr>
      <w:headerReference w:type="default" r:id="rId5"/>
      <w:headerReference w:type="even" r:id="rId6"/>
      <w:footnotePr>
        <w:pos w:val="pageBottom"/>
        <w:numFmt w:val="decimal"/>
        <w:numRestart w:val="continuous"/>
      </w:footnotePr>
      <w:pgSz w:w="11900" w:h="16840"/>
      <w:pgMar w:top="1492" w:right="1431" w:bottom="1624" w:left="1329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3717290</wp:posOffset>
              </wp:positionH>
              <wp:positionV relativeFrom="page">
                <wp:posOffset>558800</wp:posOffset>
              </wp:positionV>
              <wp:extent cx="57150" cy="9398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150" cy="939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l-PL" w:eastAsia="pl-PL" w:bidi="pl-PL"/>
                            </w:rPr>
                            <w:t>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292.69999999999999pt;margin-top:44.pt;width:4.5pt;height:7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l-PL" w:eastAsia="pl-PL" w:bidi="pl-PL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Nagłówek #1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Nagłówek lub stopka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Tekst treści (3)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color w:val="DD5B75"/>
      <w:sz w:val="22"/>
      <w:szCs w:val="22"/>
      <w:u w:val="none"/>
    </w:rPr>
  </w:style>
  <w:style w:type="character" w:customStyle="1" w:styleId="CharStyle13">
    <w:name w:val="Tekst treści (2)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color w:val="DD5B75"/>
      <w:sz w:val="18"/>
      <w:szCs w:val="18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Nagłówek #1"/>
    <w:basedOn w:val="Normal"/>
    <w:link w:val="CharStyle6"/>
    <w:pPr>
      <w:widowControl w:val="0"/>
      <w:shd w:val="clear" w:color="auto" w:fill="auto"/>
      <w:spacing w:after="440" w:line="245" w:lineRule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Nagłówek lub stopka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Tekst treści (3)"/>
    <w:basedOn w:val="Normal"/>
    <w:link w:val="CharStyle11"/>
    <w:pPr>
      <w:widowControl w:val="0"/>
      <w:shd w:val="clear" w:color="auto" w:fill="auto"/>
      <w:ind w:right="240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DD5B75"/>
      <w:sz w:val="22"/>
      <w:szCs w:val="22"/>
      <w:u w:val="none"/>
    </w:rPr>
  </w:style>
  <w:style w:type="paragraph" w:customStyle="1" w:styleId="Style12">
    <w:name w:val="Tekst treści (2)"/>
    <w:basedOn w:val="Normal"/>
    <w:link w:val="CharStyle13"/>
    <w:pPr>
      <w:widowControl w:val="0"/>
      <w:shd w:val="clear" w:color="auto" w:fill="auto"/>
      <w:spacing w:after="130" w:line="223" w:lineRule="auto"/>
      <w:ind w:left="3370" w:right="23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DD5B75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/Relationships>
</file>

<file path=docProps/core.xml><?xml version="1.0" encoding="utf-8"?>
<cp:coreProperties xmlns:cp="http://schemas.openxmlformats.org/package/2006/metadata/core-properties" xmlns:dc="http://purl.org/dc/elements/1.1/">
  <dc:title>KM_C224e-20211004094117</dc:title>
  <dc:subject/>
  <dc:creator/>
  <cp:keywords/>
</cp:coreProperties>
</file>