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27 października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GOSPODARCZEJ I KOMISJI SPOŁECZNEJ</w:t>
        <w:br/>
        <w:t>RADY MIEJSKIEJ WĘGLIŃCA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00"/>
        <w:jc w:val="both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7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Stan realizacji zadań oświatowych gminy w roku szkolnym 2020/2021.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Dyskusja nt. stawek za wynajem obiektów sportowych.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0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92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19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</w:t>
        <w:br/>
        <w:t>pracowników Urzędu Gminy i Miasta w Węglińcu, informuję, że posiedzenie Komisji Gospodarczej Rady Miejskiej Węglińca odbędzie się bez</w:t>
        <w:br/>
        <w:t>udziału publiczności.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</w:t>
        <w:br/>
        <w:t>nie noszące maseczek proszone są o przedstawienie zaświadczenia lekarskiego bądź innego stosownego dokumentu zwalniającego z</w:t>
        <w:br/>
        <w:t>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4" w:right="1393" w:bottom="569" w:left="1369" w:header="416" w:footer="14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1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29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